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color w:val="000000"/>
          <w:sz w:val="32"/>
          <w:szCs w:val="32"/>
        </w:rPr>
      </w:pPr>
      <w:r>
        <w:rPr>
          <w:rFonts w:hint="eastAsia" w:ascii="方正小标宋_GBK" w:hAnsi="宋体" w:eastAsia="方正小标宋_GBK"/>
          <w:color w:val="000000"/>
          <w:sz w:val="32"/>
          <w:szCs w:val="32"/>
        </w:rPr>
        <w:t>团体标准《地理标志农产品广西六堡茶加工技术规程》</w:t>
      </w:r>
    </w:p>
    <w:p>
      <w:pPr>
        <w:jc w:val="center"/>
        <w:rPr>
          <w:rFonts w:ascii="方正小标宋_GBK" w:hAnsi="宋体" w:eastAsia="方正小标宋_GBK"/>
          <w:color w:val="000000"/>
          <w:sz w:val="32"/>
          <w:szCs w:val="32"/>
        </w:rPr>
      </w:pPr>
      <w:r>
        <w:rPr>
          <w:rFonts w:hint="eastAsia" w:ascii="方正小标宋_GBK" w:hAnsi="宋体" w:eastAsia="方正小标宋_GBK"/>
          <w:color w:val="000000"/>
          <w:sz w:val="32"/>
          <w:szCs w:val="32"/>
        </w:rPr>
        <w:t>（征求意见稿）编制说明</w:t>
      </w:r>
    </w:p>
    <w:p>
      <w:pPr>
        <w:autoSpaceDE w:val="0"/>
        <w:autoSpaceDN w:val="0"/>
        <w:adjustRightInd w:val="0"/>
        <w:spacing w:before="156" w:beforeLines="50" w:after="156" w:afterLines="50" w:line="520" w:lineRule="exact"/>
        <w:ind w:firstLine="640" w:firstLineChars="200"/>
        <w:jc w:val="left"/>
        <w:rPr>
          <w:rFonts w:ascii="黑体" w:hAnsi="黑体" w:eastAsia="黑体" w:cs="仿宋_GB2312"/>
          <w:sz w:val="32"/>
          <w:szCs w:val="32"/>
        </w:rPr>
      </w:pPr>
      <w:r>
        <w:rPr>
          <w:rFonts w:hint="eastAsia" w:ascii="黑体" w:hAnsi="黑体" w:eastAsia="黑体" w:cs="仿宋_GB2312"/>
          <w:sz w:val="32"/>
          <w:szCs w:val="32"/>
        </w:rPr>
        <w:t>一、项目来源</w:t>
      </w:r>
    </w:p>
    <w:p>
      <w:pPr>
        <w:spacing w:line="520"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根据《关于下达2021年第二十五批团体标准制修订项目计划的通知》（桂标协〔2021〕62号）文件精神，由</w:t>
      </w:r>
      <w:r>
        <w:rPr>
          <w:rFonts w:ascii="仿宋_GB2312" w:hAnsi="宋体" w:eastAsia="仿宋_GB2312"/>
          <w:sz w:val="28"/>
          <w:szCs w:val="28"/>
        </w:rPr>
        <w:t>广西茶业</w:t>
      </w:r>
      <w:r>
        <w:rPr>
          <w:rFonts w:hint="eastAsia" w:ascii="仿宋_GB2312" w:hAnsi="宋体" w:eastAsia="仿宋_GB2312"/>
          <w:sz w:val="28"/>
          <w:szCs w:val="28"/>
        </w:rPr>
        <w:t>协会、广西茶叶科学研究所、广西茶叶学会、广西茶叶流通协会、广西标准化协会共同提出并起草制定团体标准《地理标志农产品广西六堡茶加工技术规程》（项目编号：2021-2502）。</w:t>
      </w:r>
    </w:p>
    <w:p>
      <w:pPr>
        <w:autoSpaceDE w:val="0"/>
        <w:autoSpaceDN w:val="0"/>
        <w:adjustRightInd w:val="0"/>
        <w:spacing w:before="156" w:beforeLines="50" w:after="156" w:afterLines="50" w:line="520" w:lineRule="exact"/>
        <w:ind w:firstLine="640" w:firstLineChars="200"/>
        <w:jc w:val="left"/>
        <w:rPr>
          <w:rFonts w:ascii="黑体" w:hAnsi="黑体" w:eastAsia="黑体" w:cs="仿宋_GB2312"/>
          <w:sz w:val="32"/>
          <w:szCs w:val="32"/>
        </w:rPr>
      </w:pPr>
      <w:r>
        <w:rPr>
          <w:rFonts w:hint="eastAsia" w:ascii="黑体" w:hAnsi="黑体" w:eastAsia="黑体" w:cs="仿宋_GB2312"/>
          <w:sz w:val="32"/>
          <w:szCs w:val="32"/>
        </w:rPr>
        <w:t>二、项目背景及目的意义</w:t>
      </w:r>
    </w:p>
    <w:p>
      <w:pPr>
        <w:autoSpaceDE w:val="0"/>
        <w:autoSpaceDN w:val="0"/>
        <w:adjustRightInd w:val="0"/>
        <w:ind w:firstLine="560" w:firstLineChars="200"/>
        <w:jc w:val="left"/>
        <w:rPr>
          <w:rFonts w:ascii="仿宋_GB2312" w:hAnsi="宋体" w:eastAsia="仿宋_GB2312"/>
          <w:sz w:val="28"/>
          <w:szCs w:val="28"/>
        </w:rPr>
      </w:pPr>
      <w:r>
        <w:rPr>
          <w:rFonts w:hint="eastAsia" w:ascii="仿宋_GB2312" w:hAnsi="宋体" w:eastAsia="仿宋_GB2312"/>
          <w:sz w:val="28"/>
          <w:szCs w:val="28"/>
        </w:rPr>
        <w:t>广西六堡茶是我国著名黑茶之一，选用苍梧县群体种、广西大中叶种及其分离、选育的品种、品系茶树的鲜叶为原料，按特定的工艺进行加工，具有独特品质特征的黑茶。喝过六堡茶的人都会对它的"中国红"情有独钟，六堡茶业界认为，必须以"中国红"的文化韵味和民族特色为准则，使六堡茶走上复兴之路。党的十八大以来，广西深入学习贯彻习近平总书记关于茶产业发展的重要论述，坚持规划引领、品牌塑造、文化带动、产业驱动，强龙头、补链条、聚集群，积极打造六堡茶全产业链体系，全力发展现代茶产业，推动六堡茶由销路单一的“侨销茶”发展成为“畅销茶”，呈现产销两旺、量价齐升、高速发展的良好势头。</w:t>
      </w:r>
    </w:p>
    <w:p>
      <w:pPr>
        <w:autoSpaceDE w:val="0"/>
        <w:autoSpaceDN w:val="0"/>
        <w:adjustRightInd w:val="0"/>
        <w:ind w:firstLine="560" w:firstLineChars="200"/>
        <w:jc w:val="left"/>
        <w:rPr>
          <w:rFonts w:ascii="仿宋_GB2312" w:hAnsi="宋体" w:eastAsia="仿宋_GB2312"/>
          <w:sz w:val="28"/>
          <w:szCs w:val="28"/>
        </w:rPr>
      </w:pPr>
      <w:r>
        <w:rPr>
          <w:rFonts w:hint="eastAsia" w:ascii="仿宋_GB2312" w:hAnsi="宋体" w:eastAsia="仿宋_GB2312"/>
          <w:sz w:val="28"/>
          <w:szCs w:val="28"/>
        </w:rPr>
        <w:t>六堡茶属于黑茶类，作为历史悠久的广西名茶，因原产于广西苍梧县六堡镇而得名，以“红、浓、陈、醇”为显著的品质特色。发展至今，其产业已成为一二三产业有机融合的广西特色优势农业产业，促进广西六堡茶产业的高质量发展是推动广西乡村振兴与产业扶贫政策的重要把手。近年来，六堡茶产业发展迅速，其种植面积与品牌价值不断攀升。首先，与梧州市2008年的数据进行比较分析，2020年，梧州市茶园面积达到7 333.3</w:t>
      </w:r>
      <w:r>
        <w:rPr>
          <w:rFonts w:hint="eastAsia" w:ascii="仿宋_GB2312" w:hAnsi="宋体" w:eastAsia="仿宋_GB2312"/>
          <w:sz w:val="28"/>
          <w:szCs w:val="28"/>
          <w:vertAlign w:val="superscript"/>
        </w:rPr>
        <w:t xml:space="preserve"> </w:t>
      </w:r>
      <w:r>
        <w:rPr>
          <w:rFonts w:hint="eastAsia" w:ascii="仿宋_GB2312" w:hAnsi="宋体" w:eastAsia="仿宋_GB2312"/>
          <w:sz w:val="28"/>
          <w:szCs w:val="28"/>
        </w:rPr>
        <w:t>km</w:t>
      </w:r>
      <w:r>
        <w:rPr>
          <w:rFonts w:hint="eastAsia" w:ascii="仿宋_GB2312" w:hAnsi="宋体" w:eastAsia="仿宋_GB2312"/>
          <w:sz w:val="28"/>
          <w:szCs w:val="28"/>
          <w:vertAlign w:val="superscript"/>
        </w:rPr>
        <w:t>2</w:t>
      </w:r>
      <w:r>
        <w:rPr>
          <w:rFonts w:hint="eastAsia" w:ascii="仿宋_GB2312" w:hAnsi="宋体" w:eastAsia="仿宋_GB2312"/>
          <w:sz w:val="28"/>
          <w:szCs w:val="28"/>
        </w:rPr>
        <w:t>，12年间增长5 020</w:t>
      </w:r>
      <w:r>
        <w:rPr>
          <w:rFonts w:hint="eastAsia" w:ascii="仿宋_GB2312" w:hAnsi="宋体" w:eastAsia="仿宋_GB2312"/>
          <w:sz w:val="28"/>
          <w:szCs w:val="28"/>
          <w:vertAlign w:val="superscript"/>
        </w:rPr>
        <w:t xml:space="preserve"> </w:t>
      </w:r>
      <w:r>
        <w:rPr>
          <w:rFonts w:hint="eastAsia" w:ascii="仿宋_GB2312" w:hAnsi="宋体" w:eastAsia="仿宋_GB2312"/>
          <w:sz w:val="28"/>
          <w:szCs w:val="28"/>
        </w:rPr>
        <w:t>km</w:t>
      </w:r>
      <w:r>
        <w:rPr>
          <w:rFonts w:hint="eastAsia" w:ascii="仿宋_GB2312" w:hAnsi="宋体" w:eastAsia="仿宋_GB2312"/>
          <w:sz w:val="28"/>
          <w:szCs w:val="28"/>
          <w:vertAlign w:val="superscript"/>
        </w:rPr>
        <w:t>2</w:t>
      </w:r>
      <w:r>
        <w:rPr>
          <w:rFonts w:hint="eastAsia" w:ascii="仿宋_GB2312" w:hAnsi="宋体" w:eastAsia="仿宋_GB2312"/>
          <w:sz w:val="28"/>
          <w:szCs w:val="28"/>
        </w:rPr>
        <w:t>，种植面积是以往的3.17倍。梧州市茶叶产量也达到2万吨，相较于2008年的0.66万吨，产量也达到了以往的3倍。据统计，2019年，全区六堡茶适制茶园面积92.2万亩，产量2万多吨，综合产值达80亿元。产品销往全国近30个省区市，深受消费者青睐，品牌价值不断攀升。《2020年中国茶叶区域公用品牌价值评估报告》显示，2020年，六堡茶直接产值为32亿元，综合产值为85亿元，税收额为3 926万元，公共品牌价值总计26.4亿元，居全国茶叶区域公用品牌价值排名第28位，居广西茶叶第一位。其次，销售渠道逐步拓宽，市场占有率提升。作为传统侨销茶，除销往马来西亚和印度尼西亚外，六堡茶在俄罗斯、加拿大等国家也获得了良好的消费基础，并开辟了非洲市场。从2021年1月1日起，六堡茶彻底解决了单独税则号列的问题，大大减少了出口关税。此外，在六堡镇推行的“公司+合作社+农户”的质量服务模式，现已覆盖六堡镇的28个贫困村，带动了当地1 482户贫困茶农发展。由于种植和加工属劳动密集型，尤其种植适宜区域多集中在边远高山地区，六堡茶成为脱贫攻坚工作中重要产业。广西六堡茶10大茶叶生产大县有7个是贫困县，26个产茶县有14个是贫困县，六堡茶直接带动3万多贫困户每年人均增收1000元以上。</w:t>
      </w:r>
    </w:p>
    <w:p>
      <w:pPr>
        <w:autoSpaceDE w:val="0"/>
        <w:autoSpaceDN w:val="0"/>
        <w:adjustRightInd w:val="0"/>
        <w:ind w:firstLine="560" w:firstLineChars="200"/>
        <w:jc w:val="left"/>
        <w:rPr>
          <w:rFonts w:ascii="仿宋_GB2312" w:hAnsi="宋体" w:eastAsia="仿宋_GB2312"/>
          <w:sz w:val="28"/>
          <w:szCs w:val="28"/>
        </w:rPr>
      </w:pPr>
      <w:r>
        <w:rPr>
          <w:rFonts w:hint="eastAsia" w:ascii="仿宋_GB2312" w:hAnsi="宋体" w:eastAsia="仿宋_GB2312"/>
          <w:sz w:val="28"/>
          <w:szCs w:val="28"/>
        </w:rPr>
        <w:t>在2019年《广西壮族自治区人民政府办公厅关于促进广西茶产业高质量发展的若干意见》中提出了广西六堡茶“公共大品牌+核心区域品牌+企业产品品牌”的培育计划，要求推动“广西六堡茶”农产品地理标志登记保护工作，并批复授权广西茶业协会申请“广西六堡茶”农产品地理标志登记。2020年8月10日，“广西六堡茶”农产品地理标志登记保护。广西六堡茶农产品地理标志保护地域范围：包括广西壮族自治区所辖南宁市江南区、邕宁区、武鸣区、横县、上林县；柳州市柳城县、鹿寨县、融安县、融水苗族自治县、三江侗族自治县；桂林市七星区、临桂区、荔浦市、阳朔县、全州县、龙胜各族自治县、恭城瑶族自治县；梧州市长洲区、万秀区、龙圩区、岑溪市、苍梧县、藤县；钦州市灵山县、浦北县；贵港市港北区、港南区、覃塘区、桂平市、平南县；玉林市容县、博白县、兴业县；百色市右江区、平果市、凌云县、乐业县、田林县、西林县、隆林各族自治县；贺州市八步区、平桂区、昭平县；河池市南丹县；来宾市武宣县、金秀瑶族自治县；崇左市扶绥县、龙州县等12个地级市的48个县（市、区）共计539个镇（乡、街道）；核心产区为梧州市。地理坐标位于东经104°28′～112°04′，北纬21°38′～26°24′之间。保护规模100</w:t>
      </w:r>
      <w:r>
        <w:rPr>
          <w:rFonts w:hint="eastAsia" w:ascii="仿宋_GB2312" w:hAnsi="宋体" w:eastAsia="仿宋_GB2312"/>
          <w:sz w:val="28"/>
          <w:szCs w:val="28"/>
          <w:vertAlign w:val="superscript"/>
        </w:rPr>
        <w:t xml:space="preserve"> </w:t>
      </w:r>
      <w:r>
        <w:rPr>
          <w:rFonts w:hint="eastAsia" w:ascii="仿宋_GB2312" w:hAnsi="宋体" w:eastAsia="仿宋_GB2312"/>
          <w:sz w:val="28"/>
          <w:szCs w:val="28"/>
        </w:rPr>
        <w:t>000</w:t>
      </w:r>
      <w:r>
        <w:rPr>
          <w:rFonts w:hint="eastAsia" w:ascii="仿宋_GB2312" w:hAnsi="宋体" w:eastAsia="仿宋_GB2312"/>
          <w:sz w:val="28"/>
          <w:szCs w:val="28"/>
          <w:vertAlign w:val="superscript"/>
        </w:rPr>
        <w:t xml:space="preserve"> </w:t>
      </w:r>
      <w:r>
        <w:rPr>
          <w:rFonts w:hint="eastAsia" w:ascii="仿宋_GB2312" w:hAnsi="宋体" w:eastAsia="仿宋_GB2312"/>
          <w:sz w:val="28"/>
          <w:szCs w:val="28"/>
        </w:rPr>
        <w:t>hm</w:t>
      </w:r>
      <w:r>
        <w:rPr>
          <w:rFonts w:hint="eastAsia" w:ascii="仿宋_GB2312" w:hAnsi="宋体" w:eastAsia="仿宋_GB2312"/>
          <w:sz w:val="28"/>
          <w:szCs w:val="28"/>
          <w:vertAlign w:val="superscript"/>
        </w:rPr>
        <w:t>2</w:t>
      </w:r>
      <w:r>
        <w:rPr>
          <w:rFonts w:hint="eastAsia" w:ascii="仿宋_GB2312" w:hAnsi="宋体" w:eastAsia="仿宋_GB2312"/>
          <w:sz w:val="28"/>
          <w:szCs w:val="28"/>
        </w:rPr>
        <w:t>，保护产量80</w:t>
      </w:r>
      <w:r>
        <w:rPr>
          <w:rFonts w:hint="eastAsia" w:ascii="仿宋_GB2312" w:hAnsi="宋体" w:eastAsia="仿宋_GB2312"/>
          <w:sz w:val="28"/>
          <w:szCs w:val="28"/>
          <w:vertAlign w:val="superscript"/>
        </w:rPr>
        <w:t xml:space="preserve"> </w:t>
      </w:r>
      <w:r>
        <w:rPr>
          <w:rFonts w:hint="eastAsia" w:ascii="仿宋_GB2312" w:hAnsi="宋体" w:eastAsia="仿宋_GB2312"/>
          <w:sz w:val="28"/>
          <w:szCs w:val="28"/>
        </w:rPr>
        <w:t>000</w:t>
      </w:r>
      <w:r>
        <w:rPr>
          <w:rFonts w:hint="eastAsia" w:ascii="仿宋_GB2312" w:hAnsi="宋体" w:eastAsia="仿宋_GB2312"/>
          <w:sz w:val="28"/>
          <w:szCs w:val="28"/>
          <w:vertAlign w:val="superscript"/>
        </w:rPr>
        <w:t xml:space="preserve"> </w:t>
      </w:r>
      <w:r>
        <w:rPr>
          <w:rFonts w:hint="eastAsia" w:ascii="仿宋_GB2312" w:hAnsi="宋体" w:eastAsia="仿宋_GB2312"/>
          <w:sz w:val="28"/>
          <w:szCs w:val="28"/>
        </w:rPr>
        <w:t>t。</w:t>
      </w:r>
    </w:p>
    <w:p>
      <w:pPr>
        <w:autoSpaceDE w:val="0"/>
        <w:autoSpaceDN w:val="0"/>
        <w:adjustRightInd w:val="0"/>
        <w:ind w:firstLine="560" w:firstLineChars="200"/>
        <w:jc w:val="left"/>
        <w:rPr>
          <w:rFonts w:ascii="仿宋_GB2312" w:hAnsi="宋体" w:eastAsia="仿宋_GB2312"/>
          <w:sz w:val="28"/>
          <w:szCs w:val="28"/>
        </w:rPr>
      </w:pPr>
      <w:r>
        <w:rPr>
          <w:rFonts w:hint="eastAsia" w:ascii="仿宋_GB2312" w:hAnsi="宋体" w:eastAsia="仿宋_GB2312"/>
          <w:sz w:val="28"/>
          <w:szCs w:val="28"/>
        </w:rPr>
        <w:t>所以，为扩大广西六堡茶产量，保障广西六堡茶的特有品质，打造六堡茶区域品牌，提高六堡茶在国内外市场的影响力和竞争力，带动茶农脱贫致富，制定团体标准《地理标志农产品广西六堡茶加工技术规程》，通过标准来统一规范广西六堡茶的加工技术，建立健全广西六堡茶标准化体系，对持续提升广西六堡茶的加工技术水平，打造广西六堡茶区域品牌，推动广西六堡茶产业高质量发展，助力乡村振兴具有重要意义。</w:t>
      </w:r>
    </w:p>
    <w:p>
      <w:pPr>
        <w:autoSpaceDE w:val="0"/>
        <w:autoSpaceDN w:val="0"/>
        <w:adjustRightInd w:val="0"/>
        <w:ind w:firstLine="560" w:firstLineChars="200"/>
        <w:jc w:val="left"/>
        <w:rPr>
          <w:rFonts w:ascii="黑体" w:hAnsi="黑体" w:eastAsia="黑体" w:cs="仿宋_GB2312"/>
          <w:sz w:val="28"/>
          <w:szCs w:val="28"/>
        </w:rPr>
      </w:pPr>
      <w:r>
        <w:rPr>
          <w:rFonts w:hint="eastAsia" w:ascii="黑体" w:hAnsi="黑体" w:eastAsia="黑体" w:cs="仿宋_GB2312"/>
          <w:sz w:val="28"/>
          <w:szCs w:val="28"/>
        </w:rPr>
        <w:t>三、项目编制过程</w:t>
      </w:r>
    </w:p>
    <w:p>
      <w:pPr>
        <w:ind w:firstLine="562" w:firstLineChars="200"/>
        <w:rPr>
          <w:rFonts w:ascii="仿宋_GB2312" w:hAnsi="宋体" w:eastAsia="仿宋_GB2312"/>
          <w:sz w:val="28"/>
          <w:szCs w:val="28"/>
        </w:rPr>
      </w:pPr>
      <w:r>
        <w:rPr>
          <w:rFonts w:hint="eastAsia" w:ascii="仿宋_GB2312" w:hAnsi="仿宋_GB2312" w:eastAsia="仿宋_GB2312" w:cs="仿宋_GB2312"/>
          <w:b/>
          <w:sz w:val="28"/>
          <w:szCs w:val="28"/>
        </w:rPr>
        <w:t>（一）成立标准编制工作组</w:t>
      </w:r>
    </w:p>
    <w:p>
      <w:pPr>
        <w:ind w:firstLine="560" w:firstLineChars="200"/>
        <w:rPr>
          <w:rFonts w:ascii="仿宋_GB2312" w:hAnsi="宋体" w:eastAsia="仿宋_GB2312"/>
          <w:sz w:val="28"/>
          <w:szCs w:val="28"/>
        </w:rPr>
      </w:pPr>
      <w:r>
        <w:rPr>
          <w:rFonts w:hint="eastAsia" w:ascii="仿宋_GB2312" w:hAnsi="宋体" w:eastAsia="仿宋_GB2312"/>
          <w:sz w:val="28"/>
          <w:szCs w:val="28"/>
        </w:rPr>
        <w:t>团体标准《地理标志农产品广西六堡茶加工技术规程》项目任务下达后，广西茶业协会、广西茶叶科学研究所、广西茶叶学会、广西茶叶流通协会、广西标准化协会成立了标准编制工作组，起草单位制定了起草编写方案与进度安排，明确任务职责，确定工作技术路线，开展标准研制工作。具体标准编制工作由广西茶业协会、广西茶叶科学研究所、广西茶叶学会、广西茶叶流通协会、广西标准化协会组成标准编制工作组。</w:t>
      </w:r>
    </w:p>
    <w:p>
      <w:pPr>
        <w:ind w:firstLine="560" w:firstLineChars="200"/>
        <w:rPr>
          <w:rFonts w:ascii="仿宋_GB2312" w:hAnsi="宋体" w:eastAsia="仿宋_GB2312"/>
          <w:sz w:val="28"/>
          <w:szCs w:val="28"/>
        </w:rPr>
      </w:pPr>
      <w:r>
        <w:rPr>
          <w:rFonts w:hint="eastAsia" w:ascii="仿宋_GB2312" w:hAnsi="宋体" w:eastAsia="仿宋_GB2312"/>
          <w:sz w:val="28"/>
          <w:szCs w:val="28"/>
        </w:rPr>
        <w:t>编制工作组下设三个组，分别是资料收集组、草案编写组、标准实施组。</w:t>
      </w:r>
    </w:p>
    <w:p>
      <w:pPr>
        <w:ind w:firstLine="560" w:firstLineChars="200"/>
        <w:rPr>
          <w:rFonts w:ascii="仿宋_GB2312" w:hAnsi="宋体" w:eastAsia="仿宋_GB2312"/>
          <w:sz w:val="28"/>
          <w:szCs w:val="28"/>
        </w:rPr>
      </w:pPr>
      <w:r>
        <w:rPr>
          <w:rFonts w:hint="eastAsia" w:ascii="仿宋_GB2312" w:hAnsi="宋体" w:eastAsia="仿宋_GB2312"/>
          <w:sz w:val="28"/>
          <w:szCs w:val="28"/>
        </w:rPr>
        <w:t>资料收集组负责国内外有关广西六堡茶加工技术的文献资料的查询、收集和整理工作，查阅前人对广西六堡茶加工技术的研究情况和目前科学界对广西六堡茶加工技术的研究进展。</w:t>
      </w:r>
    </w:p>
    <w:p>
      <w:pPr>
        <w:ind w:firstLine="560" w:firstLineChars="200"/>
        <w:rPr>
          <w:rFonts w:ascii="仿宋_GB2312" w:hAnsi="宋体" w:eastAsia="仿宋_GB2312"/>
          <w:sz w:val="28"/>
          <w:szCs w:val="28"/>
        </w:rPr>
      </w:pPr>
      <w:r>
        <w:rPr>
          <w:rFonts w:hint="eastAsia" w:ascii="仿宋_GB2312" w:hAnsi="宋体" w:eastAsia="仿宋_GB2312"/>
          <w:sz w:val="28"/>
          <w:szCs w:val="28"/>
        </w:rPr>
        <w:t>草案编写组负责起草标准草案、征求意见稿和标准编制说明、送审稿及编制说明的编写工作，包括后期召开征求意见会、网上征求意见，以及标准的不断修改和完善。</w:t>
      </w:r>
    </w:p>
    <w:p>
      <w:pPr>
        <w:ind w:firstLine="560" w:firstLineChars="200"/>
        <w:rPr>
          <w:rFonts w:ascii="仿宋_GB2312" w:hAnsi="宋体" w:eastAsia="仿宋_GB2312"/>
          <w:sz w:val="28"/>
          <w:szCs w:val="28"/>
        </w:rPr>
      </w:pPr>
      <w:r>
        <w:rPr>
          <w:rFonts w:hint="eastAsia" w:ascii="仿宋_GB2312" w:hAnsi="宋体" w:eastAsia="仿宋_GB2312"/>
          <w:sz w:val="28"/>
          <w:szCs w:val="28"/>
        </w:rPr>
        <w:t>标准实施组负责《地理标志农产品广西六堡茶加工技术规程》团体标准发布后，组织广西六堡茶加工企业、广西六堡茶种植户开展标准宣贯培训会，对标准进行详细解读，让相关人员了解标准，并根据标准对广西六堡茶加工技术的加工过程卫生要求、设备及工具要求、原料要求、加工工艺等进行规范化操作，保证广西六堡茶的加工生产质量，并对标准实施情况进行总结分析，不断对团体标准提出修正意见。</w:t>
      </w:r>
    </w:p>
    <w:p>
      <w:pPr>
        <w:ind w:firstLine="562" w:firstLineChars="200"/>
        <w:rPr>
          <w:rFonts w:ascii="仿宋_GB2312" w:hAnsi="仿宋_GB2312" w:eastAsia="仿宋_GB2312" w:cs="仿宋_GB2312"/>
          <w:b/>
          <w:sz w:val="28"/>
          <w:szCs w:val="28"/>
        </w:rPr>
      </w:pPr>
      <w:r>
        <w:rPr>
          <w:rFonts w:hint="eastAsia" w:ascii="仿宋_GB2312" w:hAnsi="仿宋_GB2312" w:eastAsia="仿宋_GB2312" w:cs="仿宋_GB2312"/>
          <w:b/>
          <w:sz w:val="28"/>
          <w:szCs w:val="28"/>
        </w:rPr>
        <w:t>（二）收集整理文献资料</w:t>
      </w:r>
    </w:p>
    <w:p>
      <w:pPr>
        <w:ind w:firstLine="560" w:firstLineChars="200"/>
        <w:rPr>
          <w:rFonts w:ascii="仿宋_GB2312" w:hAnsi="宋体" w:eastAsia="仿宋_GB2312"/>
          <w:sz w:val="28"/>
          <w:szCs w:val="28"/>
        </w:rPr>
      </w:pPr>
      <w:r>
        <w:rPr>
          <w:rFonts w:hint="eastAsia" w:ascii="仿宋_GB2312" w:hAnsi="宋体" w:eastAsia="仿宋_GB2312"/>
          <w:sz w:val="28"/>
          <w:szCs w:val="28"/>
        </w:rPr>
        <w:t>标准编制工作组收集了国内有关六堡茶技术相关文献资料。主要有：</w:t>
      </w:r>
    </w:p>
    <w:p>
      <w:pPr>
        <w:ind w:firstLine="560" w:firstLineChars="200"/>
        <w:rPr>
          <w:rFonts w:ascii="仿宋_GB2312" w:hAnsi="宋体" w:eastAsia="仿宋_GB2312"/>
          <w:sz w:val="28"/>
          <w:szCs w:val="28"/>
          <w:lang w:bidi="zh-CN"/>
        </w:rPr>
      </w:pPr>
      <w:r>
        <w:rPr>
          <w:rFonts w:ascii="仿宋_GB2312" w:hAnsi="宋体" w:eastAsia="仿宋_GB2312"/>
          <w:sz w:val="28"/>
          <w:szCs w:val="28"/>
          <w:lang w:bidi="zh-CN"/>
        </w:rPr>
        <w:t>GB 3095</w:t>
      </w:r>
      <w:r>
        <w:rPr>
          <w:rFonts w:hint="eastAsia" w:ascii="仿宋_GB2312" w:hAnsi="宋体" w:eastAsia="仿宋_GB2312"/>
          <w:sz w:val="28"/>
          <w:szCs w:val="28"/>
          <w:lang w:bidi="zh-CN"/>
        </w:rPr>
        <w:t xml:space="preserve">  </w:t>
      </w:r>
      <w:r>
        <w:rPr>
          <w:rFonts w:ascii="仿宋_GB2312" w:hAnsi="宋体" w:eastAsia="仿宋_GB2312"/>
          <w:sz w:val="28"/>
          <w:szCs w:val="28"/>
          <w:lang w:bidi="zh-CN"/>
        </w:rPr>
        <w:t>环境空气质量标准</w:t>
      </w:r>
    </w:p>
    <w:p>
      <w:pPr>
        <w:ind w:firstLine="560" w:firstLineChars="200"/>
        <w:rPr>
          <w:rFonts w:ascii="仿宋_GB2312" w:hAnsi="宋体" w:eastAsia="仿宋_GB2312"/>
          <w:sz w:val="28"/>
          <w:szCs w:val="28"/>
          <w:lang w:bidi="zh-CN"/>
        </w:rPr>
      </w:pPr>
      <w:r>
        <w:rPr>
          <w:rFonts w:hint="eastAsia" w:ascii="仿宋_GB2312" w:hAnsi="宋体" w:eastAsia="仿宋_GB2312"/>
          <w:sz w:val="28"/>
          <w:szCs w:val="28"/>
          <w:lang w:bidi="zh-CN"/>
        </w:rPr>
        <w:t xml:space="preserve">GB 5749  生活饮用水卫生标准 </w:t>
      </w:r>
    </w:p>
    <w:p>
      <w:pPr>
        <w:ind w:firstLine="560" w:firstLineChars="200"/>
        <w:rPr>
          <w:rFonts w:ascii="仿宋_GB2312" w:hAnsi="宋体" w:eastAsia="仿宋_GB2312"/>
          <w:sz w:val="28"/>
          <w:szCs w:val="28"/>
          <w:lang w:bidi="zh-CN"/>
        </w:rPr>
      </w:pPr>
      <w:r>
        <w:rPr>
          <w:rFonts w:hint="eastAsia" w:ascii="仿宋_GB2312" w:hAnsi="宋体" w:eastAsia="仿宋_GB2312"/>
          <w:sz w:val="28"/>
          <w:szCs w:val="28"/>
          <w:lang w:bidi="zh-CN"/>
        </w:rPr>
        <w:t>GB 14881  食品安全国家标准 食品生产通用卫生规范</w:t>
      </w:r>
    </w:p>
    <w:p>
      <w:pPr>
        <w:ind w:firstLine="560" w:firstLineChars="200"/>
        <w:rPr>
          <w:rFonts w:ascii="仿宋_GB2312" w:hAnsi="宋体" w:eastAsia="仿宋_GB2312"/>
          <w:sz w:val="28"/>
          <w:szCs w:val="28"/>
          <w:lang w:bidi="zh-CN"/>
        </w:rPr>
      </w:pPr>
      <w:r>
        <w:rPr>
          <w:rFonts w:hint="eastAsia" w:ascii="仿宋_GB2312" w:hAnsi="宋体" w:eastAsia="仿宋_GB2312"/>
          <w:sz w:val="28"/>
          <w:szCs w:val="28"/>
          <w:lang w:bidi="zh-CN"/>
        </w:rPr>
        <w:t>GB/T 30375  茶叶贮存</w:t>
      </w:r>
    </w:p>
    <w:p>
      <w:pPr>
        <w:ind w:firstLine="560" w:firstLineChars="200"/>
        <w:rPr>
          <w:rFonts w:ascii="仿宋_GB2312" w:hAnsi="宋体" w:eastAsia="仿宋_GB2312"/>
          <w:sz w:val="28"/>
          <w:szCs w:val="28"/>
          <w:lang w:bidi="zh-CN"/>
        </w:rPr>
      </w:pPr>
      <w:r>
        <w:rPr>
          <w:rFonts w:hint="eastAsia" w:ascii="仿宋_GB2312" w:hAnsi="宋体" w:eastAsia="仿宋_GB2312"/>
          <w:sz w:val="28"/>
          <w:szCs w:val="28"/>
          <w:lang w:bidi="zh-CN"/>
        </w:rPr>
        <w:t>GH/T 1070  茶叶包装通则</w:t>
      </w:r>
    </w:p>
    <w:p>
      <w:pPr>
        <w:ind w:firstLine="560" w:firstLineChars="200"/>
        <w:rPr>
          <w:rFonts w:ascii="仿宋_GB2312" w:hAnsi="宋体" w:eastAsia="仿宋_GB2312"/>
          <w:sz w:val="28"/>
          <w:szCs w:val="28"/>
          <w:lang w:bidi="zh-CN"/>
        </w:rPr>
      </w:pPr>
      <w:r>
        <w:rPr>
          <w:rFonts w:hint="eastAsia" w:ascii="仿宋_GB2312" w:hAnsi="宋体" w:eastAsia="仿宋_GB2312"/>
          <w:sz w:val="28"/>
          <w:szCs w:val="28"/>
          <w:lang w:bidi="zh-CN"/>
        </w:rPr>
        <w:t>NY/T 5019  无公害食品  茶叶加工技术规程</w:t>
      </w:r>
    </w:p>
    <w:p>
      <w:pPr>
        <w:ind w:firstLine="560" w:firstLineChars="200"/>
        <w:rPr>
          <w:rFonts w:ascii="仿宋_GB2312" w:hAnsi="宋体" w:eastAsia="仿宋_GB2312"/>
          <w:sz w:val="28"/>
          <w:szCs w:val="28"/>
          <w:lang w:bidi="zh-CN"/>
        </w:rPr>
      </w:pPr>
      <w:r>
        <w:rPr>
          <w:rFonts w:ascii="仿宋_GB2312" w:hAnsi="宋体" w:eastAsia="仿宋_GB2312"/>
          <w:sz w:val="28"/>
          <w:szCs w:val="28"/>
          <w:lang w:bidi="zh-CN"/>
        </w:rPr>
        <w:t xml:space="preserve">DB45/T 479  </w:t>
      </w:r>
      <w:r>
        <w:rPr>
          <w:rFonts w:hint="eastAsia" w:ascii="仿宋_GB2312" w:hAnsi="宋体" w:eastAsia="仿宋_GB2312"/>
          <w:sz w:val="28"/>
          <w:szCs w:val="28"/>
          <w:lang w:bidi="zh-CN"/>
        </w:rPr>
        <w:t>六堡茶加工技术规程</w:t>
      </w:r>
    </w:p>
    <w:p>
      <w:pPr>
        <w:ind w:firstLine="560" w:firstLineChars="200"/>
        <w:rPr>
          <w:rFonts w:ascii="仿宋_GB2312" w:hAnsi="宋体" w:eastAsia="仿宋_GB2312"/>
          <w:sz w:val="28"/>
          <w:szCs w:val="28"/>
          <w:lang w:bidi="zh-CN"/>
        </w:rPr>
      </w:pPr>
      <w:r>
        <w:rPr>
          <w:rFonts w:hint="eastAsia" w:ascii="仿宋_GB2312" w:hAnsi="宋体" w:eastAsia="仿宋_GB2312"/>
          <w:sz w:val="28"/>
          <w:szCs w:val="28"/>
          <w:lang w:bidi="zh-CN"/>
        </w:rPr>
        <w:t>D</w:t>
      </w:r>
      <w:r>
        <w:rPr>
          <w:rFonts w:ascii="仿宋_GB2312" w:hAnsi="宋体" w:eastAsia="仿宋_GB2312"/>
          <w:sz w:val="28"/>
          <w:szCs w:val="28"/>
          <w:lang w:bidi="zh-CN"/>
        </w:rPr>
        <w:t xml:space="preserve">B45/T 1114  </w:t>
      </w:r>
      <w:r>
        <w:rPr>
          <w:rFonts w:hint="eastAsia" w:ascii="仿宋_GB2312" w:hAnsi="宋体" w:eastAsia="仿宋_GB2312"/>
          <w:sz w:val="28"/>
          <w:szCs w:val="28"/>
          <w:lang w:bidi="zh-CN"/>
        </w:rPr>
        <w:t xml:space="preserve">地理标志农产品 </w:t>
      </w:r>
      <w:r>
        <w:rPr>
          <w:rFonts w:ascii="仿宋_GB2312" w:hAnsi="宋体" w:eastAsia="仿宋_GB2312"/>
          <w:sz w:val="28"/>
          <w:szCs w:val="28"/>
          <w:lang w:bidi="zh-CN"/>
        </w:rPr>
        <w:t xml:space="preserve"> </w:t>
      </w:r>
      <w:r>
        <w:rPr>
          <w:rFonts w:hint="eastAsia" w:ascii="仿宋_GB2312" w:hAnsi="宋体" w:eastAsia="仿宋_GB2312"/>
          <w:sz w:val="28"/>
          <w:szCs w:val="28"/>
          <w:lang w:bidi="zh-CN"/>
        </w:rPr>
        <w:t>六堡茶</w:t>
      </w:r>
    </w:p>
    <w:p>
      <w:pPr>
        <w:ind w:firstLine="560" w:firstLineChars="200"/>
        <w:rPr>
          <w:rFonts w:ascii="仿宋_GB2312" w:hAnsi="宋体" w:eastAsia="仿宋_GB2312"/>
          <w:sz w:val="28"/>
          <w:szCs w:val="28"/>
          <w:lang w:bidi="zh-CN"/>
        </w:rPr>
      </w:pPr>
      <w:r>
        <w:rPr>
          <w:rFonts w:hint="eastAsia" w:ascii="仿宋_GB2312" w:hAnsi="宋体" w:eastAsia="仿宋_GB2312"/>
          <w:sz w:val="28"/>
          <w:szCs w:val="28"/>
          <w:lang w:bidi="zh-CN"/>
        </w:rPr>
        <w:t>Q/GXNK 011-2021  六堡茶加工技术规程</w:t>
      </w:r>
    </w:p>
    <w:p>
      <w:pPr>
        <w:ind w:firstLine="562" w:firstLineChars="200"/>
        <w:rPr>
          <w:rFonts w:ascii="仿宋_GB2312" w:hAnsi="仿宋_GB2312" w:eastAsia="仿宋_GB2312" w:cs="仿宋_GB2312"/>
          <w:b/>
          <w:sz w:val="28"/>
          <w:szCs w:val="28"/>
        </w:rPr>
      </w:pPr>
      <w:r>
        <w:rPr>
          <w:rFonts w:hint="eastAsia" w:ascii="仿宋_GB2312" w:hAnsi="仿宋_GB2312" w:eastAsia="仿宋_GB2312" w:cs="仿宋_GB2312"/>
          <w:b/>
          <w:sz w:val="28"/>
          <w:szCs w:val="28"/>
        </w:rPr>
        <w:t>（三）研讨确定标准主体内容</w:t>
      </w:r>
    </w:p>
    <w:p>
      <w:pPr>
        <w:ind w:firstLine="560" w:firstLineChars="200"/>
        <w:rPr>
          <w:rFonts w:ascii="仿宋_GB2312" w:hAnsi="宋体" w:eastAsia="仿宋_GB2312"/>
          <w:sz w:val="28"/>
          <w:szCs w:val="28"/>
        </w:rPr>
      </w:pPr>
      <w:r>
        <w:rPr>
          <w:rFonts w:hint="eastAsia" w:ascii="仿宋_GB2312" w:hAnsi="宋体" w:eastAsia="仿宋_GB2312"/>
          <w:sz w:val="28"/>
          <w:szCs w:val="28"/>
        </w:rPr>
        <w:t>标准编制工作组在对收集的资料进行整理研究之后，2021年6月，标准编制工作组召开了标准编制会议，对标准的整体框架结构进行了研究，并对标准的关键性内容进行了初步探讨。经过研究，标准的主体内容确定为广西六堡茶加工技术的程序，界定了广西六堡茶涉及的术语与定义，规定了加工过程卫生要求、设备及工具要求、原料要求、加工用水、加工工艺的操作指示。</w:t>
      </w:r>
    </w:p>
    <w:p>
      <w:pPr>
        <w:ind w:firstLine="562" w:firstLineChars="200"/>
        <w:rPr>
          <w:rFonts w:ascii="仿宋_GB2312" w:hAnsi="仿宋_GB2312" w:eastAsia="仿宋_GB2312" w:cs="仿宋_GB2312"/>
          <w:b/>
          <w:sz w:val="28"/>
          <w:szCs w:val="28"/>
        </w:rPr>
      </w:pPr>
      <w:r>
        <w:rPr>
          <w:rFonts w:hint="eastAsia" w:ascii="仿宋_GB2312" w:hAnsi="仿宋_GB2312" w:eastAsia="仿宋_GB2312" w:cs="仿宋_GB2312"/>
          <w:b/>
          <w:sz w:val="28"/>
          <w:szCs w:val="28"/>
        </w:rPr>
        <w:t>（四）调研、形成征求意见稿</w:t>
      </w:r>
    </w:p>
    <w:p>
      <w:pPr>
        <w:ind w:firstLine="560" w:firstLineChars="200"/>
        <w:rPr>
          <w:rFonts w:ascii="仿宋_GB2312" w:hAnsi="宋体" w:eastAsia="仿宋_GB2312"/>
          <w:sz w:val="28"/>
          <w:szCs w:val="28"/>
        </w:rPr>
      </w:pPr>
      <w:r>
        <w:rPr>
          <w:rFonts w:hint="eastAsia" w:ascii="仿宋_GB2312" w:hAnsi="宋体" w:eastAsia="仿宋_GB2312"/>
          <w:sz w:val="28"/>
          <w:szCs w:val="28"/>
        </w:rPr>
        <w:t>2021年7月，标准起草工作小组进行了广泛实地调研工作，查阅了大量的国内外文献资料，对广西六堡茶加工技术的前人研究成果进行系统总结。形成了标准的基本构架，对主要内容进行了讨论并对项目的工作进行了部署和安排。</w:t>
      </w:r>
    </w:p>
    <w:p>
      <w:pPr>
        <w:ind w:firstLine="560" w:firstLineChars="200"/>
        <w:rPr>
          <w:rFonts w:ascii="仿宋_GB2312" w:hAnsi="宋体" w:eastAsia="仿宋_GB2312"/>
          <w:sz w:val="28"/>
          <w:szCs w:val="28"/>
        </w:rPr>
      </w:pPr>
      <w:r>
        <w:rPr>
          <w:rFonts w:hint="eastAsia" w:ascii="仿宋_GB2312" w:hAnsi="宋体" w:eastAsia="仿宋_GB2312"/>
          <w:sz w:val="28"/>
          <w:szCs w:val="28"/>
        </w:rPr>
        <w:t>2021年8月，在前期工作的基础之上，通过理清逻辑脉络，整合已有的参考资料中有关广西六堡茶加工的技术要求，并结合广西六堡茶加工实际要求的基础上，按照简化、统一等原则编制完成团体标准《地理标志农产品广西六堡茶加工技术规程》（草案）。</w:t>
      </w:r>
    </w:p>
    <w:p>
      <w:pPr>
        <w:ind w:firstLine="560" w:firstLineChars="200"/>
        <w:rPr>
          <w:rFonts w:ascii="仿宋_GB2312" w:hAnsi="宋体" w:eastAsia="仿宋_GB2312"/>
          <w:sz w:val="28"/>
          <w:szCs w:val="28"/>
        </w:rPr>
      </w:pPr>
      <w:r>
        <w:rPr>
          <w:rFonts w:hint="eastAsia" w:ascii="仿宋_GB2312" w:hAnsi="宋体" w:eastAsia="仿宋_GB2312"/>
          <w:sz w:val="28"/>
          <w:szCs w:val="28"/>
        </w:rPr>
        <w:t>2021年9月-10月，标准起草工作组再次深入区内涉及广西六堡茶加工销售的有代表性的农户、企业针对六堡茶加工情况进行分组实地调研学习。通过实地调研，掌握各地方关于六堡茶加工的具体技术要求。并实际征求意见，通过收集反馈了大量意见，标准编制工作组多次召开会议，对标准草案进行了反复修改和研究讨论。进一步讨论完善标准草案，形成团体标准《地理标志农产品广西六堡茶加工技术规程》（征求意见稿）和（征求意见稿）编制说明。</w:t>
      </w:r>
    </w:p>
    <w:p>
      <w:pPr>
        <w:autoSpaceDE w:val="0"/>
        <w:autoSpaceDN w:val="0"/>
        <w:adjustRightInd w:val="0"/>
        <w:ind w:firstLine="640" w:firstLineChars="200"/>
        <w:jc w:val="left"/>
        <w:rPr>
          <w:rFonts w:ascii="黑体" w:hAnsi="黑体" w:eastAsia="黑体" w:cs="仿宋_GB2312"/>
          <w:sz w:val="32"/>
          <w:szCs w:val="32"/>
        </w:rPr>
      </w:pPr>
      <w:bookmarkStart w:id="0" w:name="_Toc526940083"/>
      <w:r>
        <w:rPr>
          <w:rFonts w:hint="eastAsia" w:ascii="黑体" w:hAnsi="黑体" w:eastAsia="黑体" w:cs="仿宋_GB2312"/>
          <w:sz w:val="32"/>
          <w:szCs w:val="32"/>
        </w:rPr>
        <w:t>四、标准制定原则</w:t>
      </w:r>
      <w:bookmarkEnd w:id="0"/>
    </w:p>
    <w:p>
      <w:pPr>
        <w:ind w:firstLine="560" w:firstLineChars="200"/>
        <w:rPr>
          <w:rFonts w:ascii="仿宋_GB2312" w:hAnsi="宋体" w:eastAsia="仿宋_GB2312"/>
          <w:sz w:val="28"/>
          <w:szCs w:val="28"/>
        </w:rPr>
      </w:pPr>
      <w:r>
        <w:rPr>
          <w:rFonts w:hint="eastAsia" w:ascii="仿宋_GB2312" w:hAnsi="宋体" w:eastAsia="仿宋_GB2312"/>
          <w:sz w:val="28"/>
          <w:szCs w:val="28"/>
        </w:rPr>
        <w:t>1、实用性原则</w:t>
      </w:r>
    </w:p>
    <w:p>
      <w:pPr>
        <w:ind w:firstLine="560" w:firstLineChars="200"/>
        <w:rPr>
          <w:rFonts w:ascii="仿宋_GB2312" w:hAnsi="宋体" w:eastAsia="仿宋_GB2312"/>
          <w:sz w:val="28"/>
          <w:szCs w:val="28"/>
        </w:rPr>
      </w:pPr>
      <w:r>
        <w:rPr>
          <w:rFonts w:hint="eastAsia" w:ascii="仿宋_GB2312" w:hAnsi="宋体" w:eastAsia="仿宋_GB2312"/>
          <w:sz w:val="28"/>
          <w:szCs w:val="28"/>
        </w:rPr>
        <w:t>本文件是在充分收集相关资料和文献，分析广西六堡茶加工技术当前现状，调研各六堡茶市场情况</w:t>
      </w:r>
      <w:r>
        <w:rPr>
          <w:rFonts w:hint="eastAsia"/>
          <w:sz w:val="28"/>
          <w:szCs w:val="28"/>
        </w:rPr>
        <w:t>，</w:t>
      </w:r>
      <w:r>
        <w:rPr>
          <w:rFonts w:hint="eastAsia" w:ascii="仿宋_GB2312" w:hAnsi="宋体" w:eastAsia="仿宋_GB2312"/>
          <w:sz w:val="28"/>
          <w:szCs w:val="28"/>
        </w:rPr>
        <w:t>在现有国家、行业标准相关六堡茶加工技术要求的基础上，结合</w:t>
      </w:r>
      <w:r>
        <w:rPr>
          <w:rFonts w:ascii="仿宋_GB2312" w:hAnsi="宋体" w:eastAsia="仿宋_GB2312"/>
          <w:sz w:val="28"/>
          <w:szCs w:val="28"/>
        </w:rPr>
        <w:t>广西</w:t>
      </w:r>
      <w:r>
        <w:rPr>
          <w:rFonts w:hint="eastAsia" w:ascii="仿宋_GB2312" w:hAnsi="宋体" w:eastAsia="仿宋_GB2312"/>
          <w:sz w:val="28"/>
          <w:szCs w:val="28"/>
        </w:rPr>
        <w:t>六堡茶加工企业多年的六堡茶生产加工经验、试验而总结起草的，符合当前广西六堡茶加工技术发展的方向与市场需求，有利于行业的长远发展，有利于提高广西六堡茶质量和商品经济价值，提高农民经济效益，对推动我区六堡茶产业健康发展，促进农民增收脱贫，具有较强的实用性和可操作性。</w:t>
      </w:r>
    </w:p>
    <w:p>
      <w:pPr>
        <w:ind w:firstLine="560" w:firstLineChars="200"/>
        <w:rPr>
          <w:rFonts w:ascii="仿宋_GB2312" w:hAnsi="宋体" w:eastAsia="仿宋_GB2312"/>
          <w:sz w:val="28"/>
          <w:szCs w:val="28"/>
        </w:rPr>
      </w:pPr>
      <w:r>
        <w:rPr>
          <w:rFonts w:hint="eastAsia" w:ascii="仿宋_GB2312" w:hAnsi="宋体" w:eastAsia="仿宋_GB2312"/>
          <w:sz w:val="28"/>
          <w:szCs w:val="28"/>
        </w:rPr>
        <w:t>2、协调性原则</w:t>
      </w:r>
    </w:p>
    <w:p>
      <w:pPr>
        <w:ind w:firstLine="560" w:firstLineChars="200"/>
        <w:rPr>
          <w:rFonts w:ascii="仿宋_GB2312" w:hAnsi="宋体" w:eastAsia="仿宋_GB2312"/>
          <w:sz w:val="28"/>
          <w:szCs w:val="28"/>
        </w:rPr>
      </w:pPr>
      <w:r>
        <w:rPr>
          <w:rFonts w:hint="eastAsia" w:ascii="仿宋_GB2312" w:hAnsi="宋体" w:eastAsia="仿宋_GB2312"/>
          <w:sz w:val="28"/>
          <w:szCs w:val="28"/>
        </w:rPr>
        <w:t>本文件编写过程中注意了与广西六堡茶加工技术相关法律法规的协调问题，在内容上与现行法律法规、标准协调一致。</w:t>
      </w:r>
    </w:p>
    <w:p>
      <w:pPr>
        <w:ind w:firstLine="560" w:firstLineChars="200"/>
        <w:rPr>
          <w:rFonts w:ascii="仿宋_GB2312" w:hAnsi="宋体" w:eastAsia="仿宋_GB2312"/>
          <w:sz w:val="28"/>
          <w:szCs w:val="28"/>
        </w:rPr>
      </w:pPr>
      <w:r>
        <w:rPr>
          <w:rFonts w:hint="eastAsia" w:ascii="仿宋_GB2312" w:hAnsi="宋体" w:eastAsia="仿宋_GB2312"/>
          <w:sz w:val="28"/>
          <w:szCs w:val="28"/>
        </w:rPr>
        <w:t>3、规范性原则</w:t>
      </w:r>
    </w:p>
    <w:p>
      <w:pPr>
        <w:ind w:firstLine="560" w:firstLineChars="200"/>
        <w:rPr>
          <w:rFonts w:ascii="仿宋_GB2312" w:hAnsi="宋体" w:eastAsia="仿宋_GB2312"/>
          <w:sz w:val="28"/>
          <w:szCs w:val="28"/>
        </w:rPr>
      </w:pPr>
      <w:r>
        <w:rPr>
          <w:rFonts w:hint="eastAsia" w:ascii="仿宋_GB2312" w:hAnsi="宋体" w:eastAsia="仿宋_GB2312"/>
          <w:sz w:val="28"/>
          <w:szCs w:val="28"/>
        </w:rPr>
        <w:t>本文件严格按照GB/T 1.1—2020《标准化工作导则  第1部分：标准化文件的结构和起草规则》编写本标准的内容，保证标准的编写质量。</w:t>
      </w:r>
    </w:p>
    <w:p>
      <w:pPr>
        <w:ind w:firstLine="560" w:firstLineChars="200"/>
        <w:rPr>
          <w:rFonts w:ascii="仿宋_GB2312" w:hAnsi="宋体" w:eastAsia="仿宋_GB2312"/>
          <w:sz w:val="28"/>
          <w:szCs w:val="28"/>
        </w:rPr>
      </w:pPr>
      <w:r>
        <w:rPr>
          <w:rFonts w:hint="eastAsia" w:ascii="仿宋_GB2312" w:hAnsi="宋体" w:eastAsia="仿宋_GB2312"/>
          <w:sz w:val="28"/>
          <w:szCs w:val="28"/>
        </w:rPr>
        <w:t>4、前瞻性原则</w:t>
      </w:r>
    </w:p>
    <w:p>
      <w:pPr>
        <w:ind w:firstLine="560" w:firstLineChars="200"/>
        <w:rPr>
          <w:rFonts w:ascii="仿宋_GB2312" w:hAnsi="宋体" w:eastAsia="仿宋_GB2312"/>
          <w:sz w:val="28"/>
          <w:szCs w:val="28"/>
        </w:rPr>
      </w:pPr>
      <w:r>
        <w:rPr>
          <w:rFonts w:hint="eastAsia" w:ascii="仿宋_GB2312" w:hAnsi="宋体" w:eastAsia="仿宋_GB2312"/>
          <w:sz w:val="28"/>
          <w:szCs w:val="28"/>
        </w:rPr>
        <w:t>本文件在兼顾当前区内六堡茶市场加工技术现实情况的同时，还考虑到了茶业快速发展的趋势和需要，在标准中体现了个别特色性、前瞻性和先进性条款，作为对广西六堡茶加工技术发展的指导。</w:t>
      </w:r>
    </w:p>
    <w:p>
      <w:pPr>
        <w:numPr>
          <w:ilvl w:val="0"/>
          <w:numId w:val="9"/>
        </w:numPr>
        <w:autoSpaceDE w:val="0"/>
        <w:autoSpaceDN w:val="0"/>
        <w:adjustRightInd w:val="0"/>
        <w:ind w:firstLine="640" w:firstLineChars="200"/>
        <w:jc w:val="left"/>
        <w:rPr>
          <w:rFonts w:ascii="黑体" w:hAnsi="黑体" w:eastAsia="黑体" w:cs="仿宋_GB2312"/>
          <w:sz w:val="32"/>
          <w:szCs w:val="32"/>
        </w:rPr>
      </w:pPr>
      <w:bookmarkStart w:id="1" w:name="_Toc526940084"/>
      <w:r>
        <w:rPr>
          <w:rFonts w:hint="eastAsia" w:ascii="黑体" w:hAnsi="黑体" w:eastAsia="黑体" w:cs="仿宋_GB2312"/>
          <w:sz w:val="32"/>
          <w:szCs w:val="32"/>
        </w:rPr>
        <w:t>标准主要内容及依据来源</w:t>
      </w:r>
      <w:bookmarkEnd w:id="1"/>
    </w:p>
    <w:p>
      <w:pPr>
        <w:ind w:firstLine="562" w:firstLineChars="200"/>
        <w:rPr>
          <w:rFonts w:ascii="仿宋_GB2312" w:hAnsi="宋体" w:eastAsia="仿宋_GB2312"/>
          <w:b/>
          <w:bCs/>
          <w:color w:val="FF0000"/>
          <w:sz w:val="28"/>
          <w:szCs w:val="28"/>
        </w:rPr>
      </w:pPr>
      <w:r>
        <w:rPr>
          <w:rFonts w:hint="eastAsia" w:ascii="仿宋_GB2312" w:hAnsi="宋体" w:eastAsia="仿宋_GB2312"/>
          <w:b/>
          <w:bCs/>
          <w:sz w:val="28"/>
          <w:szCs w:val="28"/>
        </w:rPr>
        <w:t>1.标准主要内容</w:t>
      </w:r>
    </w:p>
    <w:p>
      <w:pPr>
        <w:ind w:firstLine="560" w:firstLineChars="200"/>
        <w:rPr>
          <w:rFonts w:ascii="仿宋_GB2312" w:hAnsi="宋体" w:eastAsia="仿宋_GB2312"/>
          <w:color w:val="FF0000"/>
          <w:sz w:val="28"/>
          <w:szCs w:val="28"/>
        </w:rPr>
      </w:pPr>
      <w:r>
        <w:rPr>
          <w:rFonts w:hint="eastAsia" w:ascii="仿宋_GB2312" w:hAnsi="宋体" w:eastAsia="仿宋_GB2312"/>
          <w:sz w:val="28"/>
          <w:szCs w:val="28"/>
        </w:rPr>
        <w:t>团体标准《地理标志农产品广西六堡茶加工技术规程》主要章节内容包括：界定了广西六堡茶涉及的术语和定义，确立了广西六堡茶加工的程序，规定了加工过程卫生、设备及工具、原料、加工用水、加工工艺的技术要求。</w:t>
      </w:r>
    </w:p>
    <w:p>
      <w:pPr>
        <w:ind w:firstLine="562" w:firstLineChars="200"/>
        <w:rPr>
          <w:rFonts w:ascii="仿宋_GB2312" w:hAnsi="宋体" w:eastAsia="仿宋_GB2312"/>
          <w:b/>
          <w:bCs/>
          <w:sz w:val="28"/>
          <w:szCs w:val="28"/>
        </w:rPr>
      </w:pPr>
      <w:r>
        <w:rPr>
          <w:rFonts w:hint="eastAsia" w:ascii="仿宋_GB2312" w:hAnsi="宋体" w:eastAsia="仿宋_GB2312"/>
          <w:b/>
          <w:bCs/>
          <w:sz w:val="28"/>
          <w:szCs w:val="28"/>
        </w:rPr>
        <w:t>2.主要依据</w:t>
      </w:r>
    </w:p>
    <w:p>
      <w:pPr>
        <w:ind w:firstLine="562" w:firstLineChars="200"/>
        <w:rPr>
          <w:rFonts w:ascii="仿宋_GB2312" w:hAnsi="宋体" w:eastAsia="仿宋_GB2312"/>
          <w:b/>
          <w:bCs/>
          <w:sz w:val="28"/>
          <w:szCs w:val="28"/>
        </w:rPr>
      </w:pPr>
      <w:r>
        <w:rPr>
          <w:rFonts w:hint="eastAsia" w:ascii="仿宋_GB2312" w:hAnsi="宋体" w:eastAsia="仿宋_GB2312"/>
          <w:b/>
          <w:bCs/>
          <w:sz w:val="28"/>
          <w:szCs w:val="28"/>
        </w:rPr>
        <w:t>术语和定义</w:t>
      </w:r>
    </w:p>
    <w:p>
      <w:pPr>
        <w:ind w:firstLine="560" w:firstLineChars="200"/>
        <w:rPr>
          <w:rFonts w:hint="eastAsia" w:ascii="仿宋_GB2312" w:hAnsi="宋体" w:eastAsia="仿宋_GB2312"/>
          <w:bCs/>
          <w:color w:val="000000" w:themeColor="text1"/>
          <w:sz w:val="28"/>
          <w:szCs w:val="28"/>
          <w14:textFill>
            <w14:solidFill>
              <w14:schemeClr w14:val="tx1"/>
            </w14:solidFill>
          </w14:textFill>
        </w:rPr>
      </w:pPr>
      <w:r>
        <w:rPr>
          <w:rFonts w:hint="eastAsia" w:ascii="仿宋_GB2312" w:hAnsi="宋体" w:eastAsia="仿宋_GB2312"/>
          <w:bCs/>
          <w:color w:val="000000" w:themeColor="text1"/>
          <w:sz w:val="28"/>
          <w:szCs w:val="28"/>
          <w14:textFill>
            <w14:solidFill>
              <w14:schemeClr w14:val="tx1"/>
            </w14:solidFill>
          </w14:textFill>
        </w:rPr>
        <w:t>在产品实际的基础上，参考六堡茶相关国家、行业和地方标准的术语，从原料、产地、工艺和质量要求等方面规定了“地理标志农产品  广西六堡茶”，结合代表性企业和相关专家意见，修改完善。</w:t>
      </w:r>
    </w:p>
    <w:p>
      <w:pPr>
        <w:ind w:firstLine="562" w:firstLineChars="200"/>
        <w:rPr>
          <w:rFonts w:ascii="仿宋_GB2312" w:hAnsi="宋体" w:eastAsia="仿宋_GB2312"/>
          <w:b/>
          <w:bCs/>
          <w:sz w:val="28"/>
          <w:szCs w:val="28"/>
        </w:rPr>
      </w:pPr>
      <w:r>
        <w:rPr>
          <w:rFonts w:hint="eastAsia" w:ascii="仿宋_GB2312" w:hAnsi="宋体" w:eastAsia="仿宋_GB2312"/>
          <w:b/>
          <w:bCs/>
          <w:sz w:val="28"/>
          <w:szCs w:val="28"/>
        </w:rPr>
        <w:t>加工过程卫生要求、设备及工具要求</w:t>
      </w:r>
    </w:p>
    <w:p>
      <w:pPr>
        <w:ind w:firstLine="560" w:firstLineChars="200"/>
        <w:rPr>
          <w:rFonts w:ascii="仿宋_GB2312" w:hAnsi="宋体" w:eastAsia="仿宋_GB2312"/>
          <w:bCs/>
          <w:color w:val="000000" w:themeColor="text1"/>
          <w:sz w:val="28"/>
          <w:szCs w:val="28"/>
          <w14:textFill>
            <w14:solidFill>
              <w14:schemeClr w14:val="tx1"/>
            </w14:solidFill>
          </w14:textFill>
        </w:rPr>
      </w:pPr>
      <w:r>
        <w:rPr>
          <w:rFonts w:hint="eastAsia" w:ascii="仿宋_GB2312" w:hAnsi="宋体" w:eastAsia="仿宋_GB2312"/>
          <w:bCs/>
          <w:sz w:val="28"/>
          <w:szCs w:val="28"/>
        </w:rPr>
        <w:t>六堡茶加工场所、设备设施：如杀青机、揉捻机、烘干机、筛分机、风选机、拣梗机、蒸茶机、压制机、干燥机、称量称、包装机等要符合食品生产要求。</w:t>
      </w:r>
      <w:r>
        <w:rPr>
          <w:rFonts w:hint="eastAsia" w:ascii="仿宋_GB2312" w:hAnsi="宋体" w:eastAsia="仿宋_GB2312"/>
          <w:bCs/>
          <w:color w:val="000000" w:themeColor="text1"/>
          <w:sz w:val="28"/>
          <w:szCs w:val="28"/>
          <w14:textFill>
            <w14:solidFill>
              <w14:schemeClr w14:val="tx1"/>
            </w14:solidFill>
          </w14:textFill>
        </w:rPr>
        <w:t>因六堡茶加工和普通茶叶加工有很多地方是相通的，所以加工场所及设备等按NY/T 5019的规定执行即可，同时六堡茶也是一种特殊的食品，故整个生产过程应符合GB 14881的要求。</w:t>
      </w:r>
    </w:p>
    <w:p>
      <w:pPr>
        <w:ind w:firstLine="562" w:firstLineChars="200"/>
        <w:rPr>
          <w:rFonts w:ascii="仿宋_GB2312" w:hAnsi="宋体" w:eastAsia="仿宋_GB2312"/>
          <w:b/>
          <w:bCs/>
          <w:sz w:val="28"/>
          <w:szCs w:val="28"/>
        </w:rPr>
      </w:pPr>
      <w:r>
        <w:rPr>
          <w:rFonts w:hint="eastAsia" w:ascii="仿宋_GB2312" w:hAnsi="宋体" w:eastAsia="仿宋_GB2312"/>
          <w:b/>
          <w:bCs/>
          <w:sz w:val="28"/>
          <w:szCs w:val="28"/>
        </w:rPr>
        <w:t>原料要求</w:t>
      </w:r>
    </w:p>
    <w:p>
      <w:pPr>
        <w:ind w:firstLine="560" w:firstLineChars="200"/>
        <w:rPr>
          <w:rFonts w:ascii="仿宋_GB2312" w:hAnsi="宋体" w:eastAsia="仿宋_GB2312"/>
          <w:bCs/>
          <w:sz w:val="28"/>
          <w:szCs w:val="28"/>
        </w:rPr>
      </w:pPr>
      <w:r>
        <w:rPr>
          <w:rFonts w:hint="eastAsia" w:ascii="仿宋_GB2312" w:hAnsi="宋体" w:eastAsia="仿宋_GB2312"/>
          <w:bCs/>
          <w:sz w:val="28"/>
          <w:szCs w:val="28"/>
        </w:rPr>
        <w:t>芽叶应新鲜、完整、匀齐，无鱼叶、病虫叶、红叶、腐败变质叶及杂物等。原料依鲜叶嫩度分三级，具体要求如下：</w:t>
      </w:r>
    </w:p>
    <w:p>
      <w:pPr>
        <w:ind w:firstLine="560" w:firstLineChars="200"/>
        <w:rPr>
          <w:rFonts w:ascii="仿宋_GB2312" w:hAnsi="宋体" w:eastAsia="仿宋_GB2312"/>
          <w:bCs/>
          <w:sz w:val="28"/>
          <w:szCs w:val="28"/>
        </w:rPr>
      </w:pPr>
      <w:r>
        <w:rPr>
          <w:rFonts w:hint="eastAsia" w:ascii="仿宋_GB2312" w:hAnsi="宋体" w:eastAsia="仿宋_GB2312"/>
          <w:bCs/>
          <w:sz w:val="28"/>
          <w:szCs w:val="28"/>
        </w:rPr>
        <w:t>——</w:t>
      </w:r>
      <w:r>
        <w:rPr>
          <w:rFonts w:hint="eastAsia" w:ascii="仿宋_GB2312" w:hAnsi="宋体" w:eastAsia="仿宋_GB2312"/>
          <w:bCs/>
          <w:sz w:val="28"/>
          <w:szCs w:val="28"/>
        </w:rPr>
        <w:tab/>
      </w:r>
      <w:r>
        <w:rPr>
          <w:rFonts w:hint="eastAsia" w:ascii="仿宋_GB2312" w:hAnsi="宋体" w:eastAsia="仿宋_GB2312"/>
          <w:bCs/>
          <w:sz w:val="28"/>
          <w:szCs w:val="28"/>
        </w:rPr>
        <w:t>特级茶原料中，一芽一叶初展及以上的比例应不低于90％，芽叶匀整；</w:t>
      </w:r>
    </w:p>
    <w:p>
      <w:pPr>
        <w:ind w:firstLine="560" w:firstLineChars="200"/>
        <w:rPr>
          <w:rFonts w:ascii="仿宋_GB2312" w:hAnsi="宋体" w:eastAsia="仿宋_GB2312"/>
          <w:bCs/>
          <w:sz w:val="28"/>
          <w:szCs w:val="28"/>
        </w:rPr>
      </w:pPr>
      <w:r>
        <w:rPr>
          <w:rFonts w:hint="eastAsia" w:ascii="仿宋_GB2312" w:hAnsi="宋体" w:eastAsia="仿宋_GB2312"/>
          <w:bCs/>
          <w:sz w:val="28"/>
          <w:szCs w:val="28"/>
        </w:rPr>
        <w:t>——</w:t>
      </w:r>
      <w:r>
        <w:rPr>
          <w:rFonts w:hint="eastAsia" w:ascii="仿宋_GB2312" w:hAnsi="宋体" w:eastAsia="仿宋_GB2312"/>
          <w:bCs/>
          <w:sz w:val="28"/>
          <w:szCs w:val="28"/>
        </w:rPr>
        <w:tab/>
      </w:r>
      <w:r>
        <w:rPr>
          <w:rFonts w:hint="eastAsia" w:ascii="仿宋_GB2312" w:hAnsi="宋体" w:eastAsia="仿宋_GB2312"/>
          <w:bCs/>
          <w:sz w:val="28"/>
          <w:szCs w:val="28"/>
        </w:rPr>
        <w:t>一级茶原料中，一芽二叶初展及以上的比例应不低于90％，芽叶匀整；</w:t>
      </w:r>
    </w:p>
    <w:p>
      <w:pPr>
        <w:ind w:firstLine="560" w:firstLineChars="200"/>
        <w:rPr>
          <w:rFonts w:ascii="仿宋_GB2312" w:hAnsi="宋体" w:eastAsia="仿宋_GB2312"/>
          <w:bCs/>
          <w:sz w:val="28"/>
          <w:szCs w:val="28"/>
        </w:rPr>
      </w:pPr>
      <w:r>
        <w:rPr>
          <w:rFonts w:hint="eastAsia" w:ascii="仿宋_GB2312" w:hAnsi="宋体" w:eastAsia="仿宋_GB2312"/>
          <w:bCs/>
          <w:sz w:val="28"/>
          <w:szCs w:val="28"/>
        </w:rPr>
        <w:t>——</w:t>
      </w:r>
      <w:r>
        <w:rPr>
          <w:rFonts w:hint="eastAsia" w:ascii="仿宋_GB2312" w:hAnsi="宋体" w:eastAsia="仿宋_GB2312"/>
          <w:bCs/>
          <w:sz w:val="28"/>
          <w:szCs w:val="28"/>
        </w:rPr>
        <w:tab/>
      </w:r>
      <w:r>
        <w:rPr>
          <w:rFonts w:hint="eastAsia" w:ascii="仿宋_GB2312" w:hAnsi="宋体" w:eastAsia="仿宋_GB2312"/>
          <w:bCs/>
          <w:sz w:val="28"/>
          <w:szCs w:val="28"/>
        </w:rPr>
        <w:t>二级茶原料中，一芽三叶初展及以上的比例应不低于90％，芽叶匀整。</w:t>
      </w:r>
    </w:p>
    <w:p>
      <w:pPr>
        <w:ind w:firstLine="560" w:firstLineChars="200"/>
        <w:rPr>
          <w:rFonts w:ascii="仿宋_GB2312" w:hAnsi="宋体" w:eastAsia="仿宋_GB2312"/>
          <w:bCs/>
          <w:color w:val="000000" w:themeColor="text1"/>
          <w:sz w:val="28"/>
          <w:szCs w:val="28"/>
          <w14:textFill>
            <w14:solidFill>
              <w14:schemeClr w14:val="tx1"/>
            </w14:solidFill>
          </w14:textFill>
        </w:rPr>
      </w:pPr>
      <w:r>
        <w:rPr>
          <w:rFonts w:hint="eastAsia" w:ascii="仿宋_GB2312" w:hAnsi="宋体" w:eastAsia="仿宋_GB2312"/>
          <w:bCs/>
          <w:color w:val="000000" w:themeColor="text1"/>
          <w:sz w:val="28"/>
          <w:szCs w:val="28"/>
          <w14:textFill>
            <w14:solidFill>
              <w14:schemeClr w14:val="tx1"/>
            </w14:solidFill>
          </w14:textFill>
        </w:rPr>
        <w:t>主要考虑保证广西六堡茶的原料质量，对原料鲜叶进行明确的分级要求。</w:t>
      </w:r>
    </w:p>
    <w:p>
      <w:pPr>
        <w:ind w:firstLine="560" w:firstLineChars="200"/>
        <w:rPr>
          <w:rFonts w:ascii="仿宋_GB2312" w:hAnsi="宋体" w:eastAsia="仿宋_GB2312"/>
          <w:bCs/>
          <w:color w:val="000000" w:themeColor="text1"/>
          <w:sz w:val="28"/>
          <w:szCs w:val="28"/>
          <w14:textFill>
            <w14:solidFill>
              <w14:schemeClr w14:val="tx1"/>
            </w14:solidFill>
          </w14:textFill>
        </w:rPr>
      </w:pPr>
    </w:p>
    <w:p>
      <w:pPr>
        <w:ind w:firstLine="562" w:firstLineChars="200"/>
        <w:rPr>
          <w:rFonts w:ascii="仿宋_GB2312" w:hAnsi="宋体" w:eastAsia="仿宋_GB2312"/>
          <w:b/>
          <w:bCs/>
          <w:sz w:val="28"/>
          <w:szCs w:val="28"/>
        </w:rPr>
      </w:pPr>
      <w:r>
        <w:rPr>
          <w:rFonts w:hint="eastAsia" w:ascii="仿宋_GB2312" w:hAnsi="宋体" w:eastAsia="仿宋_GB2312"/>
          <w:b/>
          <w:bCs/>
          <w:sz w:val="28"/>
          <w:szCs w:val="28"/>
        </w:rPr>
        <w:t>加工用水</w:t>
      </w:r>
    </w:p>
    <w:p>
      <w:pPr>
        <w:ind w:firstLine="560" w:firstLineChars="200"/>
        <w:rPr>
          <w:rFonts w:ascii="仿宋_GB2312" w:hAnsi="宋体" w:eastAsia="仿宋_GB2312"/>
          <w:bCs/>
          <w:sz w:val="28"/>
          <w:szCs w:val="28"/>
        </w:rPr>
      </w:pPr>
      <w:r>
        <w:rPr>
          <w:rFonts w:hint="eastAsia" w:ascii="仿宋_GB2312" w:hAnsi="宋体" w:eastAsia="仿宋_GB2312"/>
          <w:bCs/>
          <w:sz w:val="28"/>
          <w:szCs w:val="28"/>
        </w:rPr>
        <w:t>符合GB 5749  生活饮用水卫生标准的规定即可。</w:t>
      </w:r>
    </w:p>
    <w:p>
      <w:pPr>
        <w:ind w:firstLine="562" w:firstLineChars="200"/>
        <w:rPr>
          <w:rFonts w:ascii="仿宋_GB2312" w:hAnsi="宋体" w:eastAsia="仿宋_GB2312"/>
          <w:b/>
          <w:bCs/>
          <w:sz w:val="28"/>
          <w:szCs w:val="28"/>
        </w:rPr>
      </w:pPr>
      <w:r>
        <w:rPr>
          <w:rFonts w:hint="eastAsia" w:ascii="仿宋_GB2312" w:hAnsi="宋体" w:eastAsia="仿宋_GB2312"/>
          <w:b/>
          <w:bCs/>
          <w:sz w:val="28"/>
          <w:szCs w:val="28"/>
        </w:rPr>
        <w:t>工艺要求</w:t>
      </w:r>
    </w:p>
    <w:p>
      <w:pPr>
        <w:ind w:firstLine="562" w:firstLineChars="200"/>
        <w:rPr>
          <w:rFonts w:ascii="仿宋_GB2312" w:hAnsi="宋体" w:eastAsia="仿宋_GB2312"/>
          <w:b/>
          <w:bCs/>
          <w:sz w:val="28"/>
          <w:szCs w:val="28"/>
        </w:rPr>
      </w:pPr>
      <w:r>
        <w:rPr>
          <w:rFonts w:hint="eastAsia" w:ascii="仿宋_GB2312" w:hAnsi="宋体" w:eastAsia="仿宋_GB2312"/>
          <w:b/>
          <w:bCs/>
          <w:sz w:val="28"/>
          <w:szCs w:val="28"/>
        </w:rPr>
        <w:t>8.2.1　鲜叶</w:t>
      </w:r>
    </w:p>
    <w:p>
      <w:pPr>
        <w:ind w:firstLine="560" w:firstLineChars="200"/>
        <w:rPr>
          <w:rFonts w:ascii="仿宋_GB2312" w:hAnsi="宋体" w:eastAsia="仿宋_GB2312"/>
          <w:bCs/>
          <w:sz w:val="28"/>
          <w:szCs w:val="28"/>
        </w:rPr>
      </w:pPr>
      <w:r>
        <w:rPr>
          <w:rFonts w:hint="eastAsia" w:ascii="仿宋_GB2312" w:hAnsi="宋体" w:eastAsia="仿宋_GB2312"/>
          <w:bCs/>
          <w:sz w:val="28"/>
          <w:szCs w:val="28"/>
        </w:rPr>
        <w:t>采摘一芽一叶至一芽三、四叶及同等嫩度的对夹叶。鲜叶原料应保持新鲜，分级摊晾,当天加工完毕。</w:t>
      </w:r>
      <w:r>
        <w:rPr>
          <w:rFonts w:hint="eastAsia" w:ascii="仿宋_GB2312" w:hAnsi="宋体" w:eastAsia="仿宋_GB2312"/>
          <w:bCs/>
          <w:color w:val="000000" w:themeColor="text1"/>
          <w:sz w:val="28"/>
          <w:szCs w:val="28"/>
          <w14:textFill>
            <w14:solidFill>
              <w14:schemeClr w14:val="tx1"/>
            </w14:solidFill>
          </w14:textFill>
        </w:rPr>
        <w:t>主要按原料要求中所提出的分级要求进行茶叶的采摘、摊晾，为保证加工原料的新鲜度及加工出来的六堡茶产品的高质量，采摘下来的鲜叶原料应当天加工完毕。</w:t>
      </w:r>
    </w:p>
    <w:p>
      <w:pPr>
        <w:ind w:firstLine="562" w:firstLineChars="200"/>
        <w:rPr>
          <w:rFonts w:ascii="仿宋_GB2312" w:hAnsi="宋体" w:eastAsia="仿宋_GB2312"/>
          <w:b/>
          <w:bCs/>
          <w:sz w:val="28"/>
          <w:szCs w:val="28"/>
        </w:rPr>
      </w:pPr>
      <w:r>
        <w:rPr>
          <w:rFonts w:hint="eastAsia" w:ascii="仿宋_GB2312" w:hAnsi="宋体" w:eastAsia="仿宋_GB2312"/>
          <w:b/>
          <w:bCs/>
          <w:sz w:val="28"/>
          <w:szCs w:val="28"/>
        </w:rPr>
        <w:t>8.2.2　杀青、8.2.3　初揉、8.2.4　堆闷、8.2.5　复揉、8.2.6　干燥、8.2.7　筛选、8.2.8　拼配</w:t>
      </w:r>
    </w:p>
    <w:p>
      <w:pPr>
        <w:ind w:firstLine="560" w:firstLineChars="200"/>
        <w:rPr>
          <w:rFonts w:ascii="仿宋_GB2312" w:hAnsi="宋体" w:eastAsia="仿宋_GB2312"/>
          <w:bCs/>
          <w:sz w:val="28"/>
          <w:szCs w:val="28"/>
        </w:rPr>
      </w:pPr>
      <w:r>
        <w:rPr>
          <w:rFonts w:hint="eastAsia" w:ascii="仿宋_GB2312" w:hAnsi="宋体" w:eastAsia="仿宋_GB2312"/>
          <w:bCs/>
          <w:color w:val="000000" w:themeColor="text1"/>
          <w:sz w:val="28"/>
          <w:szCs w:val="28"/>
          <w14:textFill>
            <w14:solidFill>
              <w14:schemeClr w14:val="tx1"/>
            </w14:solidFill>
          </w14:textFill>
        </w:rPr>
        <w:t>主要依据到区内涉及广西六堡茶加工的有代表性的农户、企业进行实地调研学习六堡茶加工情况，结合广西六堡茶多年的生产加工经验，</w:t>
      </w:r>
      <w:r>
        <w:rPr>
          <w:rFonts w:hint="eastAsia" w:ascii="仿宋_GB2312" w:hAnsi="宋体" w:eastAsia="仿宋_GB2312"/>
          <w:bCs/>
          <w:sz w:val="28"/>
          <w:szCs w:val="28"/>
        </w:rPr>
        <w:t>明确了杀青、初揉、堆闷、复揉、干燥、筛选、拼配等工艺操作要求。杀青应均匀。杀青以叶质柔软、叶色转为暗绿色、青草气味基本消失、茶梗折而不断为适度。趁温揉捻，揉捻中间可停机进行解块分筛，其筛底茶进行堆闷，筛面的粗条茶头再重揉，然后下机进行堆闷。初揉结束后进行堆筑堆闷，当堆温达到55℃时，及时进行翻堆散热，当堆温降到30℃时再收拢筑堆，继续堆闷直到适度为止。</w:t>
      </w:r>
      <w:r>
        <w:rPr>
          <w:rFonts w:hint="eastAsia" w:ascii="仿宋_GB2312" w:hAnsi="宋体" w:eastAsia="仿宋_GB2312"/>
          <w:bCs/>
          <w:color w:val="000000" w:themeColor="text1"/>
          <w:sz w:val="28"/>
          <w:szCs w:val="28"/>
          <w14:textFill>
            <w14:solidFill>
              <w14:schemeClr w14:val="tx1"/>
            </w14:solidFill>
          </w14:textFill>
        </w:rPr>
        <w:t>堆温达到55℃需及时翻堆是为了散发热量，降低茶叶含水量，使茶叶发酵均匀。堆温过高（高于55℃？）会出现烧心茶叶，造成叶底不展开、味淡、汤色暗、存储价值低下。</w:t>
      </w:r>
      <w:r>
        <w:rPr>
          <w:rFonts w:ascii="仿宋_GB2312" w:hAnsi="宋体" w:eastAsia="仿宋_GB2312"/>
          <w:bCs/>
          <w:color w:val="000000" w:themeColor="text1"/>
          <w:sz w:val="28"/>
          <w:szCs w:val="28"/>
          <w14:textFill>
            <w14:solidFill>
              <w14:schemeClr w14:val="tx1"/>
            </w14:solidFill>
          </w14:textFill>
        </w:rPr>
        <w:t>40</w:t>
      </w:r>
      <w:r>
        <w:rPr>
          <w:rFonts w:hint="eastAsia" w:ascii="仿宋_GB2312" w:hAnsi="宋体" w:eastAsia="仿宋_GB2312"/>
          <w:bCs/>
          <w:color w:val="000000" w:themeColor="text1"/>
          <w:sz w:val="28"/>
          <w:szCs w:val="28"/>
          <w14:textFill>
            <w14:solidFill>
              <w14:schemeClr w14:val="tx1"/>
            </w14:solidFill>
          </w14:textFill>
        </w:rPr>
        <w:t>℃～50℃是较为适宜的堆闷温度，堆温过低，不利于形成堆内的湿热作用，除去部分涩味和粗老味，使叶色由暗绿变成黄褐，茶香味更纯。</w:t>
      </w:r>
      <w:r>
        <w:rPr>
          <w:rFonts w:hint="eastAsia" w:ascii="仿宋_GB2312" w:hAnsi="宋体" w:eastAsia="仿宋_GB2312"/>
          <w:bCs/>
          <w:sz w:val="28"/>
          <w:szCs w:val="28"/>
        </w:rPr>
        <w:t>再度揉紧茶条。</w:t>
      </w:r>
      <w:r>
        <w:rPr>
          <w:rFonts w:hint="eastAsia" w:ascii="仿宋_GB2312" w:hAnsi="宋体" w:eastAsia="仿宋_GB2312"/>
          <w:bCs/>
          <w:color w:val="000000" w:themeColor="text1"/>
          <w:sz w:val="28"/>
          <w:szCs w:val="28"/>
          <w14:textFill>
            <w14:solidFill>
              <w14:schemeClr w14:val="tx1"/>
            </w14:solidFill>
          </w14:textFill>
        </w:rPr>
        <w:t>使茶汁互相浸润，干湿一致。干燥至茶叶含水分不超过12％，成六堡茶毛茶。这是依据六堡茶毛茶的理化指标水分≤12％进行考虑的。通</w:t>
      </w:r>
      <w:r>
        <w:rPr>
          <w:rFonts w:hint="eastAsia" w:ascii="仿宋_GB2312" w:hAnsi="宋体" w:eastAsia="仿宋_GB2312"/>
          <w:bCs/>
          <w:sz w:val="28"/>
          <w:szCs w:val="28"/>
        </w:rPr>
        <w:t>过筛分、风选、拣剔，除去梗、片及非茶类物质，达到分级要求。按品质等级要求进行拼配。</w:t>
      </w:r>
    </w:p>
    <w:p>
      <w:pPr>
        <w:ind w:firstLine="562" w:firstLineChars="200"/>
        <w:rPr>
          <w:rFonts w:ascii="仿宋_GB2312" w:hAnsi="宋体" w:eastAsia="仿宋_GB2312"/>
          <w:b/>
          <w:bCs/>
          <w:sz w:val="28"/>
          <w:szCs w:val="28"/>
        </w:rPr>
      </w:pPr>
      <w:r>
        <w:rPr>
          <w:rFonts w:hint="eastAsia" w:ascii="仿宋_GB2312" w:hAnsi="宋体" w:eastAsia="仿宋_GB2312"/>
          <w:b/>
          <w:bCs/>
          <w:sz w:val="28"/>
          <w:szCs w:val="28"/>
        </w:rPr>
        <w:t>8.2.9　渥堆</w:t>
      </w:r>
    </w:p>
    <w:p>
      <w:pPr>
        <w:ind w:firstLine="560" w:firstLineChars="200"/>
        <w:rPr>
          <w:rFonts w:ascii="仿宋_GB2312" w:hAnsi="宋体" w:eastAsia="仿宋_GB2312"/>
          <w:bCs/>
          <w:sz w:val="28"/>
          <w:szCs w:val="28"/>
        </w:rPr>
      </w:pPr>
      <w:r>
        <w:rPr>
          <w:rFonts w:hint="eastAsia" w:ascii="仿宋_GB2312" w:hAnsi="宋体" w:eastAsia="仿宋_GB2312"/>
          <w:bCs/>
          <w:sz w:val="28"/>
          <w:szCs w:val="28"/>
        </w:rPr>
        <w:t>根据广西六堡茶毛茶等级和气候条件，合理采取初蒸渥堆或加冷水渥堆。初蒸渥堆，茶叶上蒸茶机蒸3</w:t>
      </w:r>
      <w:r>
        <w:rPr>
          <w:rFonts w:hint="eastAsia" w:ascii="仿宋_GB2312" w:hAnsi="宋体" w:eastAsia="仿宋_GB2312"/>
          <w:bCs/>
          <w:sz w:val="28"/>
          <w:szCs w:val="28"/>
          <w:vertAlign w:val="superscript"/>
        </w:rPr>
        <w:t xml:space="preserve"> </w:t>
      </w:r>
      <w:r>
        <w:rPr>
          <w:rFonts w:hint="eastAsia" w:ascii="仿宋_GB2312" w:hAnsi="宋体" w:eastAsia="仿宋_GB2312"/>
          <w:bCs/>
          <w:sz w:val="28"/>
          <w:szCs w:val="28"/>
        </w:rPr>
        <w:t>min～5</w:t>
      </w:r>
      <w:r>
        <w:rPr>
          <w:rFonts w:hint="eastAsia" w:ascii="仿宋_GB2312" w:hAnsi="宋体" w:eastAsia="仿宋_GB2312"/>
          <w:bCs/>
          <w:sz w:val="28"/>
          <w:szCs w:val="28"/>
          <w:vertAlign w:val="superscript"/>
        </w:rPr>
        <w:t xml:space="preserve"> </w:t>
      </w:r>
      <w:r>
        <w:rPr>
          <w:rFonts w:hint="eastAsia" w:ascii="仿宋_GB2312" w:hAnsi="宋体" w:eastAsia="仿宋_GB2312"/>
          <w:bCs/>
          <w:sz w:val="28"/>
          <w:szCs w:val="28"/>
        </w:rPr>
        <w:t>min，至叶全软为度，出蒸后略加摊晾，即进行渥堆。加冷水渥堆，根据茶叶的含水情况，合理确定茶水比例，均匀加水，茶叶含水量控制在26％以内。堆高60</w:t>
      </w:r>
      <w:r>
        <w:rPr>
          <w:rFonts w:hint="eastAsia" w:ascii="仿宋_GB2312" w:hAnsi="宋体" w:eastAsia="仿宋_GB2312"/>
          <w:bCs/>
          <w:sz w:val="28"/>
          <w:szCs w:val="28"/>
          <w:vertAlign w:val="superscript"/>
        </w:rPr>
        <w:t xml:space="preserve"> </w:t>
      </w:r>
      <w:r>
        <w:rPr>
          <w:rFonts w:hint="eastAsia" w:ascii="仿宋_GB2312" w:hAnsi="宋体" w:eastAsia="仿宋_GB2312"/>
          <w:bCs/>
          <w:sz w:val="28"/>
          <w:szCs w:val="28"/>
        </w:rPr>
        <w:t>cm～80</w:t>
      </w:r>
      <w:r>
        <w:rPr>
          <w:rFonts w:hint="eastAsia" w:ascii="仿宋_GB2312" w:hAnsi="宋体" w:eastAsia="仿宋_GB2312"/>
          <w:bCs/>
          <w:sz w:val="28"/>
          <w:szCs w:val="28"/>
          <w:vertAlign w:val="superscript"/>
        </w:rPr>
        <w:t xml:space="preserve"> </w:t>
      </w:r>
      <w:r>
        <w:rPr>
          <w:rFonts w:hint="eastAsia" w:ascii="仿宋_GB2312" w:hAnsi="宋体" w:eastAsia="仿宋_GB2312"/>
          <w:bCs/>
          <w:sz w:val="28"/>
          <w:szCs w:val="28"/>
        </w:rPr>
        <w:t>cm，每日勤检查，当堆温升至58℃～60℃时立即翻堆、解块，堆温控制在40℃～60℃为宜。待叶色变为红褐或黑褐，发出醇香，即为渥堆适度。</w:t>
      </w:r>
    </w:p>
    <w:p>
      <w:pPr>
        <w:ind w:firstLine="560" w:firstLineChars="200"/>
        <w:rPr>
          <w:rFonts w:ascii="仿宋_GB2312" w:hAnsi="宋体" w:eastAsia="仿宋_GB2312"/>
          <w:bCs/>
          <w:color w:val="000000" w:themeColor="text1"/>
          <w:sz w:val="28"/>
          <w:szCs w:val="28"/>
          <w14:textFill>
            <w14:solidFill>
              <w14:schemeClr w14:val="tx1"/>
            </w14:solidFill>
          </w14:textFill>
        </w:rPr>
      </w:pPr>
      <w:r>
        <w:rPr>
          <w:rFonts w:hint="eastAsia" w:ascii="仿宋_GB2312" w:hAnsi="宋体" w:eastAsia="仿宋_GB2312"/>
          <w:bCs/>
          <w:color w:val="000000" w:themeColor="text1"/>
          <w:sz w:val="28"/>
          <w:szCs w:val="28"/>
          <w14:textFill>
            <w14:solidFill>
              <w14:schemeClr w14:val="tx1"/>
            </w14:solidFill>
          </w14:textFill>
        </w:rPr>
        <w:t>渥堆是形成六堡茶独特品质的关键工序，主要考虑翻堆不及时，茶叶转化不同步，发酵不均匀，甚至烧堆变质，出来的产品品质不佳，同时高温高热的茶叶中会形成茶块，重发酵的老茶头不具备很好的后期存储价值。目的主要是通过湿热反应和酶促反应等，利用温、湿度培养微生物，微生物产生热能与分泌的酶进行化学反应，氧化产生茶黄素及茶红素等，并将蛋白质水解成为味道甘甜的氨基酸，使茶汤橙红、滋味醇厚，达到六堡茶的特有品质。</w:t>
      </w:r>
    </w:p>
    <w:p>
      <w:pPr>
        <w:ind w:firstLine="562" w:firstLineChars="200"/>
        <w:rPr>
          <w:rFonts w:ascii="仿宋_GB2312" w:hAnsi="宋体" w:eastAsia="仿宋_GB2312"/>
          <w:b/>
          <w:bCs/>
          <w:sz w:val="28"/>
          <w:szCs w:val="28"/>
        </w:rPr>
      </w:pPr>
      <w:r>
        <w:rPr>
          <w:rFonts w:hint="eastAsia" w:ascii="仿宋_GB2312" w:hAnsi="宋体" w:eastAsia="仿宋_GB2312"/>
          <w:b/>
          <w:bCs/>
          <w:sz w:val="28"/>
          <w:szCs w:val="28"/>
        </w:rPr>
        <w:t>8.2.10　初蒸</w:t>
      </w:r>
      <w:r>
        <w:rPr>
          <w:rFonts w:hint="eastAsia" w:ascii="仿宋_GB2312" w:hAnsi="仿宋" w:eastAsia="仿宋_GB2312" w:cs="宋体"/>
          <w:b/>
          <w:bCs/>
          <w:sz w:val="28"/>
          <w:szCs w:val="28"/>
        </w:rPr>
        <w:t>焗</w:t>
      </w:r>
      <w:r>
        <w:rPr>
          <w:rFonts w:hint="eastAsia" w:ascii="仿宋_GB2312" w:hAnsi="仿宋_GB2312" w:eastAsia="仿宋_GB2312" w:cs="仿宋_GB2312"/>
          <w:b/>
          <w:bCs/>
          <w:sz w:val="28"/>
          <w:szCs w:val="28"/>
        </w:rPr>
        <w:t>堆</w:t>
      </w:r>
    </w:p>
    <w:p>
      <w:pPr>
        <w:ind w:firstLine="560" w:firstLineChars="200"/>
        <w:rPr>
          <w:rFonts w:ascii="仿宋_GB2312" w:hAnsi="宋体" w:eastAsia="仿宋_GB2312"/>
          <w:bCs/>
          <w:color w:val="000000" w:themeColor="text1"/>
          <w:sz w:val="28"/>
          <w:szCs w:val="28"/>
          <w14:textFill>
            <w14:solidFill>
              <w14:schemeClr w14:val="tx1"/>
            </w14:solidFill>
          </w14:textFill>
        </w:rPr>
      </w:pPr>
      <w:r>
        <w:rPr>
          <w:rFonts w:hint="eastAsia" w:ascii="仿宋_GB2312" w:hAnsi="宋体" w:eastAsia="仿宋_GB2312"/>
          <w:bCs/>
          <w:sz w:val="28"/>
          <w:szCs w:val="28"/>
        </w:rPr>
        <w:t>将筛分好的广西六堡茶毛茶用蒸汽蒸软，堆置一定的高度、保证一定的湿度和温度，促进微生物的形成，加速六堡茶口感的形成。</w:t>
      </w:r>
      <w:r>
        <w:rPr>
          <w:rFonts w:hint="eastAsia" w:ascii="仿宋_GB2312" w:hAnsi="宋体" w:eastAsia="仿宋_GB2312"/>
          <w:bCs/>
          <w:color w:val="000000" w:themeColor="text1"/>
          <w:sz w:val="28"/>
          <w:szCs w:val="28"/>
          <w14:textFill>
            <w14:solidFill>
              <w14:schemeClr w14:val="tx1"/>
            </w14:solidFill>
          </w14:textFill>
        </w:rPr>
        <w:t>目的是使茶坯在水热作用下，进行发酵，使部分多酚类化合物非酶性氧化，使茶叶色泽红褐，汤色橙红，口感更醇和。</w:t>
      </w:r>
    </w:p>
    <w:p>
      <w:pPr>
        <w:ind w:firstLine="562" w:firstLineChars="200"/>
        <w:rPr>
          <w:rFonts w:ascii="仿宋_GB2312" w:hAnsi="宋体" w:eastAsia="仿宋_GB2312"/>
          <w:b/>
          <w:bCs/>
          <w:sz w:val="28"/>
          <w:szCs w:val="28"/>
        </w:rPr>
      </w:pPr>
      <w:r>
        <w:rPr>
          <w:rFonts w:hint="eastAsia" w:ascii="仿宋_GB2312" w:hAnsi="宋体" w:eastAsia="仿宋_GB2312"/>
          <w:b/>
          <w:bCs/>
          <w:sz w:val="28"/>
          <w:szCs w:val="28"/>
        </w:rPr>
        <w:t>8.2.11　汽蒸(复蒸)</w:t>
      </w:r>
    </w:p>
    <w:p>
      <w:pPr>
        <w:ind w:firstLine="560" w:firstLineChars="200"/>
        <w:rPr>
          <w:rFonts w:ascii="仿宋_GB2312" w:hAnsi="宋体" w:eastAsia="仿宋_GB2312"/>
          <w:bCs/>
          <w:color w:val="FF0000"/>
          <w:sz w:val="28"/>
          <w:szCs w:val="28"/>
        </w:rPr>
      </w:pPr>
      <w:r>
        <w:rPr>
          <w:rFonts w:hint="eastAsia" w:ascii="仿宋_GB2312" w:hAnsi="宋体" w:eastAsia="仿宋_GB2312"/>
          <w:bCs/>
          <w:sz w:val="28"/>
          <w:szCs w:val="28"/>
        </w:rPr>
        <w:t>汽蒸器具应保持清洁，蒸前应测量每批预制茶（渥堆适度茶）含水量并计算确定称茶量。复蒸的茶叶一般趁热压入篓内或趁热压制成砖、饼、沱等。</w:t>
      </w:r>
      <w:r>
        <w:rPr>
          <w:rFonts w:hint="eastAsia" w:ascii="仿宋_GB2312" w:hAnsi="宋体" w:eastAsia="仿宋_GB2312"/>
          <w:bCs/>
          <w:color w:val="000000" w:themeColor="text1"/>
          <w:sz w:val="28"/>
          <w:szCs w:val="28"/>
          <w14:textFill>
            <w14:solidFill>
              <w14:schemeClr w14:val="tx1"/>
            </w14:solidFill>
          </w14:textFill>
        </w:rPr>
        <w:t>该工序的目的是杀死低温的细菌、杂菌，保证六堡茶的香气纯净。</w:t>
      </w:r>
    </w:p>
    <w:p>
      <w:pPr>
        <w:ind w:firstLine="562" w:firstLineChars="200"/>
        <w:rPr>
          <w:rFonts w:ascii="仿宋_GB2312" w:hAnsi="宋体" w:eastAsia="仿宋_GB2312"/>
          <w:b/>
          <w:bCs/>
          <w:sz w:val="28"/>
          <w:szCs w:val="28"/>
        </w:rPr>
      </w:pPr>
      <w:r>
        <w:rPr>
          <w:rFonts w:hint="eastAsia" w:ascii="仿宋_GB2312" w:hAnsi="宋体" w:eastAsia="仿宋_GB2312"/>
          <w:b/>
          <w:bCs/>
          <w:sz w:val="28"/>
          <w:szCs w:val="28"/>
        </w:rPr>
        <w:t>8.2.12　晾置</w:t>
      </w:r>
    </w:p>
    <w:p>
      <w:pPr>
        <w:ind w:firstLine="560" w:firstLineChars="200"/>
        <w:rPr>
          <w:rFonts w:ascii="仿宋_GB2312" w:hAnsi="宋体" w:eastAsia="仿宋_GB2312"/>
          <w:bCs/>
          <w:sz w:val="28"/>
          <w:szCs w:val="28"/>
        </w:rPr>
      </w:pPr>
      <w:r>
        <w:rPr>
          <w:rFonts w:hint="eastAsia" w:ascii="仿宋_GB2312" w:hAnsi="宋体" w:eastAsia="仿宋_GB2312"/>
          <w:bCs/>
          <w:sz w:val="28"/>
          <w:szCs w:val="28"/>
        </w:rPr>
        <w:t>汽蒸后的散茶和蒸压后的紧压茶应置于清洁、阴凉通风、无异杂味，忌高温高湿的环境内，待茶叶温度降至室温，茶叶含水量降至18％以下。</w:t>
      </w:r>
      <w:r>
        <w:rPr>
          <w:rFonts w:hint="eastAsia" w:ascii="仿宋_GB2312" w:hAnsi="宋体" w:eastAsia="仿宋_GB2312"/>
          <w:bCs/>
          <w:color w:val="000000" w:themeColor="text1"/>
          <w:sz w:val="28"/>
          <w:szCs w:val="28"/>
          <w14:textFill>
            <w14:solidFill>
              <w14:schemeClr w14:val="tx1"/>
            </w14:solidFill>
          </w14:textFill>
        </w:rPr>
        <w:t>考虑到蒸加工后的成品六堡茶，必须散发水分，降低叶温后，置于结净、阴凉、通风、无异味的环境进行陈化。适当通风以去除六堡茶在渥堆、</w:t>
      </w:r>
      <w:r>
        <w:rPr>
          <w:rFonts w:hint="eastAsia" w:ascii="宋体" w:hAnsi="宋体" w:cs="宋体"/>
          <w:bCs/>
          <w:color w:val="000000" w:themeColor="text1"/>
          <w:sz w:val="28"/>
          <w:szCs w:val="28"/>
          <w14:textFill>
            <w14:solidFill>
              <w14:schemeClr w14:val="tx1"/>
            </w14:solidFill>
          </w14:textFill>
        </w:rPr>
        <w:t>焗</w:t>
      </w:r>
      <w:r>
        <w:rPr>
          <w:rFonts w:hint="eastAsia" w:ascii="仿宋_GB2312" w:hAnsi="仿宋_GB2312" w:eastAsia="仿宋_GB2312" w:cs="仿宋_GB2312"/>
          <w:bCs/>
          <w:color w:val="000000" w:themeColor="text1"/>
          <w:sz w:val="28"/>
          <w:szCs w:val="28"/>
          <w14:textFill>
            <w14:solidFill>
              <w14:schemeClr w14:val="tx1"/>
            </w14:solidFill>
          </w14:textFill>
        </w:rPr>
        <w:t>堆过程中产生的堆味、杂味。</w:t>
      </w:r>
    </w:p>
    <w:p>
      <w:pPr>
        <w:ind w:firstLine="562" w:firstLineChars="200"/>
        <w:rPr>
          <w:rFonts w:ascii="仿宋_GB2312" w:hAnsi="宋体" w:eastAsia="仿宋_GB2312"/>
          <w:b/>
          <w:bCs/>
          <w:sz w:val="28"/>
          <w:szCs w:val="28"/>
        </w:rPr>
      </w:pPr>
      <w:r>
        <w:rPr>
          <w:rFonts w:hint="eastAsia" w:ascii="仿宋_GB2312" w:hAnsi="宋体" w:eastAsia="仿宋_GB2312"/>
          <w:b/>
          <w:bCs/>
          <w:sz w:val="28"/>
          <w:szCs w:val="28"/>
        </w:rPr>
        <w:t>8.2.13　陈化</w:t>
      </w:r>
    </w:p>
    <w:p>
      <w:pPr>
        <w:ind w:firstLine="560" w:firstLineChars="200"/>
        <w:rPr>
          <w:rFonts w:ascii="仿宋_GB2312" w:hAnsi="宋体" w:eastAsia="仿宋_GB2312"/>
          <w:bCs/>
          <w:color w:val="000000" w:themeColor="text1"/>
          <w:sz w:val="28"/>
          <w:szCs w:val="28"/>
          <w14:textFill>
            <w14:solidFill>
              <w14:schemeClr w14:val="tx1"/>
            </w14:solidFill>
          </w14:textFill>
        </w:rPr>
      </w:pPr>
      <w:r>
        <w:rPr>
          <w:rFonts w:hint="eastAsia" w:ascii="仿宋_GB2312" w:hAnsi="宋体" w:eastAsia="仿宋_GB2312"/>
          <w:bCs/>
          <w:sz w:val="28"/>
          <w:szCs w:val="28"/>
        </w:rPr>
        <w:t>将茶叶置于清洁、阴凉、通风、无异杂味的环境内，待茶叶温度降至室温，茶叶含水量降至18％以下，先移至清洁、相对湿度在60％～85％、温度在23℃～28℃、无异杂味的环境或移至洞穴中陈化，然后移至清洁、阴凉、干爽、无异杂味的仓库中陈化。陈化时间不少于180</w:t>
      </w:r>
      <w:r>
        <w:rPr>
          <w:rFonts w:hint="eastAsia" w:ascii="仿宋_GB2312" w:hAnsi="宋体" w:eastAsia="仿宋_GB2312"/>
          <w:bCs/>
          <w:sz w:val="28"/>
          <w:szCs w:val="28"/>
          <w:vertAlign w:val="superscript"/>
        </w:rPr>
        <w:t xml:space="preserve"> </w:t>
      </w:r>
      <w:r>
        <w:rPr>
          <w:rFonts w:hint="eastAsia" w:ascii="仿宋_GB2312" w:hAnsi="宋体" w:eastAsia="仿宋_GB2312"/>
          <w:bCs/>
          <w:sz w:val="28"/>
          <w:szCs w:val="28"/>
        </w:rPr>
        <w:t>d。陈化起始日期应从渥堆结束开始计算。</w:t>
      </w:r>
      <w:r>
        <w:rPr>
          <w:rFonts w:hint="eastAsia" w:ascii="仿宋_GB2312" w:hAnsi="宋体" w:eastAsia="仿宋_GB2312"/>
          <w:bCs/>
          <w:color w:val="000000" w:themeColor="text1"/>
          <w:sz w:val="28"/>
          <w:szCs w:val="28"/>
          <w14:textFill>
            <w14:solidFill>
              <w14:schemeClr w14:val="tx1"/>
            </w14:solidFill>
          </w14:textFill>
        </w:rPr>
        <w:t>陈化是重要的后期储存过程，“相对湿度在60％～85％、温度在23℃～28℃</w:t>
      </w:r>
      <w:r>
        <w:rPr>
          <w:rFonts w:ascii="仿宋_GB2312" w:hAnsi="宋体" w:eastAsia="仿宋_GB2312"/>
          <w:bCs/>
          <w:color w:val="000000" w:themeColor="text1"/>
          <w:sz w:val="28"/>
          <w:szCs w:val="28"/>
          <w14:textFill>
            <w14:solidFill>
              <w14:schemeClr w14:val="tx1"/>
            </w14:solidFill>
          </w14:textFill>
        </w:rPr>
        <w:t>”</w:t>
      </w:r>
      <w:r>
        <w:rPr>
          <w:rFonts w:hint="eastAsia" w:ascii="仿宋_GB2312" w:hAnsi="宋体" w:eastAsia="仿宋_GB2312"/>
          <w:bCs/>
          <w:color w:val="000000" w:themeColor="text1"/>
          <w:sz w:val="28"/>
          <w:szCs w:val="28"/>
          <w14:textFill>
            <w14:solidFill>
              <w14:schemeClr w14:val="tx1"/>
            </w14:solidFill>
          </w14:textFill>
        </w:rPr>
        <w:t>，主要依据地理标志农产品广西六堡茶的公告规定，考虑到适宜六堡茶中独特和纯化的微生物群（有益菌类）的生长繁殖，促进茶叶内含物质的转化，使六堡茶香气纯正、口感醇正，具有独特的“六堡茶韵”。茶叶极易吸收异味，影响六堡茶的味道，故应无异杂味。“阴凉”是为了减少强光线照晒六堡茶的影响，高温易使六堡茶失去活性，不利于其本身的陈化，广西地区常存高温高湿的气候，故应移至阴凉干爽的仓库陈化。180</w:t>
      </w:r>
      <w:r>
        <w:rPr>
          <w:rFonts w:hint="eastAsia" w:ascii="仿宋_GB2312" w:hAnsi="宋体" w:eastAsia="仿宋_GB2312"/>
          <w:bCs/>
          <w:color w:val="000000" w:themeColor="text1"/>
          <w:sz w:val="28"/>
          <w:szCs w:val="28"/>
          <w:vertAlign w:val="superscript"/>
          <w14:textFill>
            <w14:solidFill>
              <w14:schemeClr w14:val="tx1"/>
            </w14:solidFill>
          </w14:textFill>
        </w:rPr>
        <w:t xml:space="preserve"> </w:t>
      </w:r>
      <w:r>
        <w:rPr>
          <w:rFonts w:hint="eastAsia" w:ascii="仿宋_GB2312" w:hAnsi="宋体" w:eastAsia="仿宋_GB2312"/>
          <w:bCs/>
          <w:color w:val="000000" w:themeColor="text1"/>
          <w:sz w:val="28"/>
          <w:szCs w:val="28"/>
          <w14:textFill>
            <w14:solidFill>
              <w14:schemeClr w14:val="tx1"/>
            </w14:solidFill>
          </w14:textFill>
        </w:rPr>
        <w:t>d是六堡茶陈化时间规定的最低标准，市面上常见的六堡茶产品的陈化时间一般都在1年以上。后发酵的六堡茶越陈越香，没有经过长时间的陈化，六堡茶的汤色滋味就达不到“红、浓、陈、醇”的特点。</w:t>
      </w:r>
    </w:p>
    <w:p>
      <w:pPr>
        <w:ind w:firstLine="562" w:firstLineChars="200"/>
        <w:rPr>
          <w:rFonts w:ascii="仿宋_GB2312" w:hAnsi="宋体" w:eastAsia="仿宋_GB2312"/>
          <w:b/>
          <w:bCs/>
          <w:color w:val="000000" w:themeColor="text1"/>
          <w:sz w:val="28"/>
          <w:szCs w:val="28"/>
          <w14:textFill>
            <w14:solidFill>
              <w14:schemeClr w14:val="tx1"/>
            </w14:solidFill>
          </w14:textFill>
        </w:rPr>
      </w:pPr>
      <w:r>
        <w:rPr>
          <w:rFonts w:hint="eastAsia" w:ascii="仿宋_GB2312" w:hAnsi="宋体" w:eastAsia="仿宋_GB2312"/>
          <w:b/>
          <w:bCs/>
          <w:color w:val="000000" w:themeColor="text1"/>
          <w:sz w:val="28"/>
          <w:szCs w:val="28"/>
          <w14:textFill>
            <w14:solidFill>
              <w14:schemeClr w14:val="tx1"/>
            </w14:solidFill>
          </w14:textFill>
        </w:rPr>
        <w:t>8.2.14　包装、8.2.15　贮存</w:t>
      </w:r>
    </w:p>
    <w:p>
      <w:pPr>
        <w:ind w:firstLine="560" w:firstLineChars="200"/>
        <w:rPr>
          <w:rFonts w:ascii="仿宋_GB2312" w:hAnsi="宋体" w:eastAsia="仿宋_GB2312"/>
          <w:bCs/>
          <w:color w:val="000000" w:themeColor="text1"/>
          <w:sz w:val="28"/>
          <w:szCs w:val="28"/>
          <w14:textFill>
            <w14:solidFill>
              <w14:schemeClr w14:val="tx1"/>
            </w14:solidFill>
          </w14:textFill>
        </w:rPr>
      </w:pPr>
      <w:r>
        <w:rPr>
          <w:rFonts w:hint="eastAsia" w:ascii="仿宋_GB2312" w:hAnsi="宋体" w:eastAsia="仿宋_GB2312"/>
          <w:bCs/>
          <w:color w:val="000000" w:themeColor="text1"/>
          <w:sz w:val="28"/>
          <w:szCs w:val="28"/>
          <w14:textFill>
            <w14:solidFill>
              <w14:schemeClr w14:val="tx1"/>
            </w14:solidFill>
          </w14:textFill>
        </w:rPr>
        <w:t>精制后的各级成品茶应及时包装入库，分级堆放。产品包装应符合GH/T 1070  茶叶包装通则的要求。毛茶、半成品茶、成品茶应分别存放，并按照GB/T 30375  茶叶贮存的要求执行。</w:t>
      </w:r>
    </w:p>
    <w:p>
      <w:pPr>
        <w:ind w:firstLine="640" w:firstLineChars="200"/>
        <w:rPr>
          <w:rFonts w:hAnsi="黑体" w:cs="仿宋_GB2312"/>
          <w:sz w:val="32"/>
          <w:szCs w:val="32"/>
        </w:rPr>
      </w:pPr>
      <w:r>
        <w:rPr>
          <w:rFonts w:hint="eastAsia" w:hAnsi="黑体" w:cs="仿宋_GB2312"/>
          <w:sz w:val="32"/>
          <w:szCs w:val="32"/>
        </w:rPr>
        <w:t>六、国内同类标准制修订情况及与法律法规、强制性标准关系</w:t>
      </w:r>
    </w:p>
    <w:p>
      <w:pPr>
        <w:ind w:firstLine="560" w:firstLineChars="200"/>
        <w:rPr>
          <w:rFonts w:ascii="仿宋_GB2312" w:hAnsi="宋体" w:eastAsia="仿宋_GB2312"/>
          <w:sz w:val="28"/>
          <w:szCs w:val="28"/>
        </w:rPr>
      </w:pPr>
      <w:r>
        <w:rPr>
          <w:rFonts w:hint="eastAsia" w:ascii="仿宋_GB2312" w:hAnsi="宋体" w:eastAsia="仿宋_GB2312"/>
          <w:sz w:val="28"/>
          <w:szCs w:val="28"/>
        </w:rPr>
        <w:t>经查阅，目前国内与地理标志农产品广西六堡茶加工技术相关的标准有：有GH/T 1070  《茶叶包装通则》；NY/T 5019  《无公害食品 茶叶加工技术规程》、GB/Z 26576  《茶叶生产技术规范》、NY/T 5018  《茶叶生产技术规程》、DB45/T 435  《六堡茶生产技术规程》、</w:t>
      </w:r>
      <w:bookmarkStart w:id="2" w:name="_Hlk82122104"/>
      <w:r>
        <w:rPr>
          <w:rFonts w:hint="eastAsia" w:ascii="仿宋_GB2312" w:hAnsi="宋体" w:eastAsia="仿宋_GB2312"/>
          <w:color w:val="000000" w:themeColor="text1"/>
          <w:sz w:val="28"/>
          <w:szCs w:val="28"/>
          <w14:textFill>
            <w14:solidFill>
              <w14:schemeClr w14:val="tx1"/>
            </w14:solidFill>
          </w14:textFill>
        </w:rPr>
        <w:t>DB45/T 479  《六堡茶加工技术规程》</w:t>
      </w:r>
      <w:bookmarkEnd w:id="2"/>
      <w:r>
        <w:rPr>
          <w:rFonts w:hint="eastAsia" w:ascii="仿宋_GB2312" w:hAnsi="宋体" w:eastAsia="仿宋_GB2312"/>
          <w:sz w:val="28"/>
          <w:szCs w:val="28"/>
        </w:rPr>
        <w:t>，但GB/Z 26576  《茶叶生产技术规范》、NY/T 5018  《茶叶生产技术规程》等都不是针对广西六堡茶的加工做出的要求，DB45/T 479  《六堡茶加工技术规程》的适用范围是在广西壮族自治区梧州市现辖行政区域范围内，且品种仅局限于广西苍梧县群体种、广西大中叶种，而不是广西壮族自治区现辖行政区域范围内。上述标准均没有针对地理标志农产品广西六堡茶的加工技术指标做出规定，不能准确指导广西六堡茶的加工生产。</w:t>
      </w:r>
    </w:p>
    <w:p>
      <w:pPr>
        <w:autoSpaceDE w:val="0"/>
        <w:autoSpaceDN w:val="0"/>
        <w:adjustRightInd w:val="0"/>
        <w:ind w:firstLine="640" w:firstLineChars="200"/>
        <w:jc w:val="left"/>
        <w:rPr>
          <w:rFonts w:ascii="黑体" w:hAnsi="黑体" w:eastAsia="黑体" w:cs="仿宋_GB2312"/>
          <w:sz w:val="32"/>
          <w:szCs w:val="32"/>
        </w:rPr>
      </w:pPr>
      <w:bookmarkStart w:id="3" w:name="_Toc526940086"/>
      <w:r>
        <w:rPr>
          <w:rFonts w:hint="eastAsia" w:ascii="黑体" w:hAnsi="黑体" w:eastAsia="黑体" w:cs="仿宋_GB2312"/>
          <w:sz w:val="32"/>
          <w:szCs w:val="32"/>
        </w:rPr>
        <w:t>七、</w:t>
      </w:r>
      <w:bookmarkEnd w:id="3"/>
      <w:r>
        <w:rPr>
          <w:rFonts w:hint="eastAsia" w:ascii="黑体" w:hAnsi="黑体" w:eastAsia="黑体" w:cs="仿宋_GB2312"/>
          <w:sz w:val="32"/>
          <w:szCs w:val="32"/>
        </w:rPr>
        <w:t>重大分歧意见的处理经过和依据</w:t>
      </w:r>
    </w:p>
    <w:p>
      <w:pPr>
        <w:spacing w:line="520" w:lineRule="exact"/>
        <w:ind w:firstLine="560" w:firstLineChars="200"/>
        <w:rPr>
          <w:rFonts w:ascii="仿宋_GB2312" w:hAnsi="宋体" w:eastAsia="仿宋_GB2312"/>
          <w:sz w:val="28"/>
          <w:szCs w:val="28"/>
        </w:rPr>
      </w:pPr>
      <w:r>
        <w:rPr>
          <w:rFonts w:hint="eastAsia" w:ascii="仿宋_GB2312" w:hAnsi="宋体" w:eastAsia="仿宋_GB2312"/>
          <w:sz w:val="28"/>
          <w:szCs w:val="28"/>
        </w:rPr>
        <w:t>本标准研制过程中无重大分歧意见。</w:t>
      </w:r>
    </w:p>
    <w:p>
      <w:pPr>
        <w:spacing w:line="520" w:lineRule="exact"/>
        <w:ind w:firstLine="640" w:firstLineChars="200"/>
        <w:rPr>
          <w:rFonts w:ascii="黑体" w:hAnsi="黑体" w:eastAsia="黑体"/>
          <w:sz w:val="32"/>
          <w:szCs w:val="32"/>
        </w:rPr>
      </w:pPr>
      <w:r>
        <w:rPr>
          <w:rFonts w:hint="eastAsia" w:ascii="黑体" w:hAnsi="黑体" w:eastAsia="黑体"/>
          <w:sz w:val="32"/>
          <w:szCs w:val="32"/>
        </w:rPr>
        <w:t>八、自我承诺</w:t>
      </w:r>
    </w:p>
    <w:p>
      <w:pPr>
        <w:spacing w:line="520" w:lineRule="exact"/>
        <w:ind w:firstLine="560" w:firstLineChars="200"/>
        <w:rPr>
          <w:rFonts w:ascii="仿宋_GB2312" w:hAnsi="宋体" w:eastAsia="仿宋_GB2312"/>
          <w:sz w:val="28"/>
          <w:szCs w:val="28"/>
        </w:rPr>
      </w:pPr>
      <w:r>
        <w:rPr>
          <w:rFonts w:hint="eastAsia" w:ascii="仿宋_GB2312" w:hAnsi="宋体" w:eastAsia="仿宋_GB2312"/>
          <w:sz w:val="28"/>
          <w:szCs w:val="28"/>
        </w:rPr>
        <w:t>本标准内容与各项指标不低于国家强制性标准、推荐性国家标准和行业标准。</w:t>
      </w:r>
    </w:p>
    <w:p>
      <w:pPr>
        <w:spacing w:line="520" w:lineRule="exact"/>
        <w:rPr>
          <w:rFonts w:ascii="仿宋_GB2312" w:hAnsi="仿宋" w:eastAsia="仿宋_GB2312"/>
          <w:bCs/>
          <w:color w:val="000000"/>
          <w:sz w:val="32"/>
          <w:szCs w:val="32"/>
        </w:rPr>
      </w:pPr>
    </w:p>
    <w:p>
      <w:pPr>
        <w:spacing w:line="520" w:lineRule="exact"/>
        <w:rPr>
          <w:rFonts w:ascii="仿宋_GB2312" w:hAnsi="仿宋" w:eastAsia="仿宋_GB2312"/>
          <w:bCs/>
          <w:color w:val="000000"/>
          <w:sz w:val="32"/>
          <w:szCs w:val="32"/>
        </w:rPr>
      </w:pPr>
    </w:p>
    <w:p>
      <w:pPr>
        <w:spacing w:line="520" w:lineRule="exact"/>
        <w:ind w:firstLine="1280" w:firstLineChars="400"/>
        <w:rPr>
          <w:rFonts w:ascii="仿宋_GB2312" w:hAnsi="仿宋_GB2312" w:eastAsia="仿宋_GB2312" w:cs="仿宋_GB2312"/>
          <w:sz w:val="32"/>
          <w:szCs w:val="32"/>
        </w:rPr>
      </w:pPr>
      <w:r>
        <w:rPr>
          <w:rFonts w:hint="eastAsia" w:ascii="仿宋_GB2312" w:hAnsi="仿宋_GB2312" w:eastAsia="仿宋_GB2312" w:cs="仿宋_GB2312"/>
          <w:sz w:val="32"/>
          <w:szCs w:val="32"/>
        </w:rPr>
        <w:t>团体标准《地理标志农产品广西六堡茶加工技术规程》</w:t>
      </w:r>
    </w:p>
    <w:p>
      <w:pPr>
        <w:spacing w:line="520" w:lineRule="exact"/>
        <w:ind w:right="112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标准编制工作组</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2021年9月</w:t>
      </w:r>
      <w:r>
        <w:rPr>
          <w:rFonts w:hint="eastAsia" w:ascii="仿宋_GB2312" w:hAnsi="仿宋_GB2312" w:eastAsia="仿宋_GB2312" w:cs="仿宋_GB2312"/>
          <w:sz w:val="32"/>
          <w:szCs w:val="32"/>
          <w:lang w:val="en-US" w:eastAsia="zh-CN"/>
        </w:rPr>
        <w:t>14</w:t>
      </w:r>
      <w:bookmarkStart w:id="4" w:name="_GoBack"/>
      <w:bookmarkEnd w:id="4"/>
      <w:r>
        <w:rPr>
          <w:rFonts w:hint="eastAsia" w:ascii="仿宋_GB2312" w:hAnsi="仿宋_GB2312" w:eastAsia="仿宋_GB2312" w:cs="仿宋_GB2312"/>
          <w:sz w:val="32"/>
          <w:szCs w:val="32"/>
        </w:rPr>
        <w:t>日</w:t>
      </w:r>
    </w:p>
    <w:sectPr>
      <w:footerReference r:id="rId3" w:type="default"/>
      <w:pgSz w:w="11906" w:h="16838"/>
      <w:pgMar w:top="1474" w:right="1474" w:bottom="147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F73E57"/>
    <w:multiLevelType w:val="singleLevel"/>
    <w:tmpl w:val="BCF73E57"/>
    <w:lvl w:ilvl="0" w:tentative="0">
      <w:start w:val="5"/>
      <w:numFmt w:val="chineseCounting"/>
      <w:suff w:val="nothing"/>
      <w:lvlText w:val="%1、"/>
      <w:lvlJc w:val="left"/>
      <w:rPr>
        <w:rFonts w:hint="eastAsia"/>
      </w:rPr>
    </w:lvl>
  </w:abstractNum>
  <w:abstractNum w:abstractNumId="1">
    <w:nsid w:val="079102AD"/>
    <w:multiLevelType w:val="multilevel"/>
    <w:tmpl w:val="079102AD"/>
    <w:lvl w:ilvl="0" w:tentative="0">
      <w:start w:val="1"/>
      <w:numFmt w:val="decimal"/>
      <w:pStyle w:val="19"/>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0DDE2B46"/>
    <w:multiLevelType w:val="multilevel"/>
    <w:tmpl w:val="0DDE2B46"/>
    <w:lvl w:ilvl="0" w:tentative="0">
      <w:start w:val="1"/>
      <w:numFmt w:val="lowerLetter"/>
      <w:pStyle w:val="23"/>
      <w:suff w:val="nothing"/>
      <w:lvlText w:val="%1   "/>
      <w:lvlJc w:val="left"/>
      <w:pPr>
        <w:ind w:left="544" w:hanging="181"/>
      </w:pPr>
      <w:rPr>
        <w:rFonts w:hint="eastAsia" w:ascii="宋体" w:hAns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3">
    <w:nsid w:val="1DBF583A"/>
    <w:multiLevelType w:val="multilevel"/>
    <w:tmpl w:val="1DBF583A"/>
    <w:lvl w:ilvl="0" w:tentative="0">
      <w:start w:val="1"/>
      <w:numFmt w:val="decimal"/>
      <w:pStyle w:val="22"/>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4">
    <w:nsid w:val="1FC91163"/>
    <w:multiLevelType w:val="multilevel"/>
    <w:tmpl w:val="1FC91163"/>
    <w:lvl w:ilvl="0" w:tentative="0">
      <w:start w:val="1"/>
      <w:numFmt w:val="decimal"/>
      <w:pStyle w:val="1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3"/>
      <w:suff w:val="nothing"/>
      <w:lvlText w:val="%1.%2　"/>
      <w:lvlJc w:val="left"/>
      <w:pPr>
        <w:ind w:left="525"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15"/>
      <w:suff w:val="nothing"/>
      <w:lvlText w:val="%1.%2.%3　"/>
      <w:lvlJc w:val="left"/>
      <w:pPr>
        <w:ind w:left="0" w:firstLine="0"/>
      </w:pPr>
      <w:rPr>
        <w:rFonts w:hint="eastAsia" w:ascii="黑体" w:hAnsi="Times New Roman" w:eastAsia="黑体"/>
        <w:b w:val="0"/>
        <w:i w:val="0"/>
        <w:sz w:val="21"/>
      </w:rPr>
    </w:lvl>
    <w:lvl w:ilvl="3" w:tentative="0">
      <w:start w:val="1"/>
      <w:numFmt w:val="decimal"/>
      <w:pStyle w:val="16"/>
      <w:suff w:val="nothing"/>
      <w:lvlText w:val="%1.%2.%3.%4　"/>
      <w:lvlJc w:val="left"/>
      <w:pPr>
        <w:ind w:left="0" w:firstLine="0"/>
      </w:pPr>
      <w:rPr>
        <w:rFonts w:hint="eastAsia" w:ascii="黑体" w:hAnsi="Times New Roman" w:eastAsia="黑体"/>
        <w:b w:val="0"/>
        <w:i w:val="0"/>
        <w:sz w:val="21"/>
      </w:rPr>
    </w:lvl>
    <w:lvl w:ilvl="4" w:tentative="0">
      <w:start w:val="1"/>
      <w:numFmt w:val="decimal"/>
      <w:pStyle w:val="17"/>
      <w:suff w:val="nothing"/>
      <w:lvlText w:val="%1.%2.%3.%4.%5　"/>
      <w:lvlJc w:val="left"/>
      <w:pPr>
        <w:ind w:left="0" w:firstLine="0"/>
      </w:pPr>
      <w:rPr>
        <w:rFonts w:hint="eastAsia" w:ascii="黑体" w:hAnsi="Times New Roman" w:eastAsia="黑体"/>
        <w:b w:val="0"/>
        <w:i w:val="0"/>
        <w:sz w:val="21"/>
      </w:rPr>
    </w:lvl>
    <w:lvl w:ilvl="5" w:tentative="0">
      <w:start w:val="1"/>
      <w:numFmt w:val="decimal"/>
      <w:pStyle w:val="1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2A8F7113"/>
    <w:multiLevelType w:val="multilevel"/>
    <w:tmpl w:val="2A8F7113"/>
    <w:lvl w:ilvl="0" w:tentative="0">
      <w:start w:val="1"/>
      <w:numFmt w:val="upperLetter"/>
      <w:pStyle w:val="20"/>
      <w:suff w:val="space"/>
      <w:lvlText w:val="%1"/>
      <w:lvlJc w:val="left"/>
      <w:pPr>
        <w:ind w:left="623" w:hanging="425"/>
      </w:pPr>
      <w:rPr>
        <w:rFonts w:hint="eastAsia"/>
      </w:rPr>
    </w:lvl>
    <w:lvl w:ilvl="1" w:tentative="0">
      <w:start w:val="1"/>
      <w:numFmt w:val="decimal"/>
      <w:pStyle w:val="21"/>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6">
    <w:nsid w:val="557C2AF5"/>
    <w:multiLevelType w:val="multilevel"/>
    <w:tmpl w:val="557C2AF5"/>
    <w:lvl w:ilvl="0" w:tentative="0">
      <w:start w:val="1"/>
      <w:numFmt w:val="decimal"/>
      <w:pStyle w:val="12"/>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27"/>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8">
    <w:nsid w:val="646260FA"/>
    <w:multiLevelType w:val="multilevel"/>
    <w:tmpl w:val="646260FA"/>
    <w:lvl w:ilvl="0" w:tentative="0">
      <w:start w:val="1"/>
      <w:numFmt w:val="decimal"/>
      <w:pStyle w:val="11"/>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8"/>
  </w:num>
  <w:num w:numId="2">
    <w:abstractNumId w:val="6"/>
  </w:num>
  <w:num w:numId="3">
    <w:abstractNumId w:val="4"/>
  </w:num>
  <w:num w:numId="4">
    <w:abstractNumId w:val="1"/>
  </w:num>
  <w:num w:numId="5">
    <w:abstractNumId w:val="5"/>
  </w:num>
  <w:num w:numId="6">
    <w:abstractNumId w:val="3"/>
  </w:num>
  <w:num w:numId="7">
    <w:abstractNumId w:val="2"/>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62E"/>
    <w:rsid w:val="0000457E"/>
    <w:rsid w:val="00005CA4"/>
    <w:rsid w:val="00013090"/>
    <w:rsid w:val="00016837"/>
    <w:rsid w:val="00021331"/>
    <w:rsid w:val="00024212"/>
    <w:rsid w:val="00024664"/>
    <w:rsid w:val="00033257"/>
    <w:rsid w:val="00034233"/>
    <w:rsid w:val="00034BDB"/>
    <w:rsid w:val="000576D0"/>
    <w:rsid w:val="00057758"/>
    <w:rsid w:val="0007330D"/>
    <w:rsid w:val="00073F72"/>
    <w:rsid w:val="00076BBA"/>
    <w:rsid w:val="00080F2F"/>
    <w:rsid w:val="0009177A"/>
    <w:rsid w:val="00093E74"/>
    <w:rsid w:val="000962F6"/>
    <w:rsid w:val="000A0201"/>
    <w:rsid w:val="000A4601"/>
    <w:rsid w:val="000A77CD"/>
    <w:rsid w:val="000D0ACE"/>
    <w:rsid w:val="000D15BE"/>
    <w:rsid w:val="000D5AC8"/>
    <w:rsid w:val="000D6612"/>
    <w:rsid w:val="000D751C"/>
    <w:rsid w:val="000D7F33"/>
    <w:rsid w:val="000F10EB"/>
    <w:rsid w:val="000F3365"/>
    <w:rsid w:val="000F517A"/>
    <w:rsid w:val="00101D2E"/>
    <w:rsid w:val="00103B83"/>
    <w:rsid w:val="00105252"/>
    <w:rsid w:val="00106661"/>
    <w:rsid w:val="00110864"/>
    <w:rsid w:val="00110F43"/>
    <w:rsid w:val="00112415"/>
    <w:rsid w:val="00114946"/>
    <w:rsid w:val="00126CA6"/>
    <w:rsid w:val="001273E7"/>
    <w:rsid w:val="00127EB0"/>
    <w:rsid w:val="00131B03"/>
    <w:rsid w:val="00133786"/>
    <w:rsid w:val="00134DD4"/>
    <w:rsid w:val="0015152A"/>
    <w:rsid w:val="00156663"/>
    <w:rsid w:val="001611BB"/>
    <w:rsid w:val="00183467"/>
    <w:rsid w:val="00190A64"/>
    <w:rsid w:val="001923CF"/>
    <w:rsid w:val="001925FD"/>
    <w:rsid w:val="00194FE3"/>
    <w:rsid w:val="00196054"/>
    <w:rsid w:val="0019711F"/>
    <w:rsid w:val="001A0DBF"/>
    <w:rsid w:val="001A3402"/>
    <w:rsid w:val="001B36E5"/>
    <w:rsid w:val="001B3B17"/>
    <w:rsid w:val="001C5F01"/>
    <w:rsid w:val="001C793C"/>
    <w:rsid w:val="001D22F0"/>
    <w:rsid w:val="001D64DB"/>
    <w:rsid w:val="001D7816"/>
    <w:rsid w:val="001E5000"/>
    <w:rsid w:val="001F07A8"/>
    <w:rsid w:val="001F241E"/>
    <w:rsid w:val="001F660A"/>
    <w:rsid w:val="00205603"/>
    <w:rsid w:val="002116FB"/>
    <w:rsid w:val="00214221"/>
    <w:rsid w:val="002223DD"/>
    <w:rsid w:val="002231E8"/>
    <w:rsid w:val="00223EB7"/>
    <w:rsid w:val="00231E62"/>
    <w:rsid w:val="00232769"/>
    <w:rsid w:val="00244ADA"/>
    <w:rsid w:val="002465C7"/>
    <w:rsid w:val="00254F7A"/>
    <w:rsid w:val="00256FE0"/>
    <w:rsid w:val="002621E1"/>
    <w:rsid w:val="00262753"/>
    <w:rsid w:val="00262771"/>
    <w:rsid w:val="00264A7D"/>
    <w:rsid w:val="00264CE4"/>
    <w:rsid w:val="00283085"/>
    <w:rsid w:val="0029084D"/>
    <w:rsid w:val="00291EF3"/>
    <w:rsid w:val="002A4D06"/>
    <w:rsid w:val="002B07E3"/>
    <w:rsid w:val="002B2E35"/>
    <w:rsid w:val="002C4FFB"/>
    <w:rsid w:val="002C5534"/>
    <w:rsid w:val="002C611B"/>
    <w:rsid w:val="002C73B6"/>
    <w:rsid w:val="002D6D1E"/>
    <w:rsid w:val="002E073F"/>
    <w:rsid w:val="002E7A35"/>
    <w:rsid w:val="002F34AA"/>
    <w:rsid w:val="002F4D7B"/>
    <w:rsid w:val="002F513F"/>
    <w:rsid w:val="002F613B"/>
    <w:rsid w:val="003025DF"/>
    <w:rsid w:val="00303E23"/>
    <w:rsid w:val="00306925"/>
    <w:rsid w:val="003144B8"/>
    <w:rsid w:val="0033375C"/>
    <w:rsid w:val="0034090F"/>
    <w:rsid w:val="00343C24"/>
    <w:rsid w:val="00345BCC"/>
    <w:rsid w:val="00353735"/>
    <w:rsid w:val="00357A1D"/>
    <w:rsid w:val="00357E18"/>
    <w:rsid w:val="0036001E"/>
    <w:rsid w:val="00362F10"/>
    <w:rsid w:val="00365252"/>
    <w:rsid w:val="00373BAD"/>
    <w:rsid w:val="00382AB2"/>
    <w:rsid w:val="00392E22"/>
    <w:rsid w:val="003B5050"/>
    <w:rsid w:val="003C2D44"/>
    <w:rsid w:val="003C483D"/>
    <w:rsid w:val="003D5CB5"/>
    <w:rsid w:val="003E330B"/>
    <w:rsid w:val="003E4A86"/>
    <w:rsid w:val="003F284D"/>
    <w:rsid w:val="003F28D0"/>
    <w:rsid w:val="003F3119"/>
    <w:rsid w:val="003F392A"/>
    <w:rsid w:val="003F3AAC"/>
    <w:rsid w:val="003F727B"/>
    <w:rsid w:val="0040035D"/>
    <w:rsid w:val="00404BD1"/>
    <w:rsid w:val="0040610D"/>
    <w:rsid w:val="00406A80"/>
    <w:rsid w:val="0042062E"/>
    <w:rsid w:val="00424AF1"/>
    <w:rsid w:val="00424FCB"/>
    <w:rsid w:val="00425860"/>
    <w:rsid w:val="00434E46"/>
    <w:rsid w:val="00434F90"/>
    <w:rsid w:val="004378E4"/>
    <w:rsid w:val="0044118D"/>
    <w:rsid w:val="004441BD"/>
    <w:rsid w:val="004503F4"/>
    <w:rsid w:val="00455661"/>
    <w:rsid w:val="0046025A"/>
    <w:rsid w:val="00460359"/>
    <w:rsid w:val="004605D8"/>
    <w:rsid w:val="004626AF"/>
    <w:rsid w:val="00465230"/>
    <w:rsid w:val="00467DEF"/>
    <w:rsid w:val="004805D0"/>
    <w:rsid w:val="00480BA1"/>
    <w:rsid w:val="0048357F"/>
    <w:rsid w:val="00484EF3"/>
    <w:rsid w:val="00485212"/>
    <w:rsid w:val="004865C9"/>
    <w:rsid w:val="0049011A"/>
    <w:rsid w:val="00491FE3"/>
    <w:rsid w:val="0049390C"/>
    <w:rsid w:val="004A25C4"/>
    <w:rsid w:val="004A614E"/>
    <w:rsid w:val="004A660C"/>
    <w:rsid w:val="004A76AB"/>
    <w:rsid w:val="004B2E7F"/>
    <w:rsid w:val="004C4136"/>
    <w:rsid w:val="004D5B22"/>
    <w:rsid w:val="004F0593"/>
    <w:rsid w:val="004F48C2"/>
    <w:rsid w:val="004F74F0"/>
    <w:rsid w:val="004F7FA9"/>
    <w:rsid w:val="00505469"/>
    <w:rsid w:val="0051028F"/>
    <w:rsid w:val="0051148B"/>
    <w:rsid w:val="00514C97"/>
    <w:rsid w:val="005159F5"/>
    <w:rsid w:val="00526200"/>
    <w:rsid w:val="005269CF"/>
    <w:rsid w:val="00535AC6"/>
    <w:rsid w:val="00537550"/>
    <w:rsid w:val="005639F8"/>
    <w:rsid w:val="005656AA"/>
    <w:rsid w:val="005742DB"/>
    <w:rsid w:val="00577C08"/>
    <w:rsid w:val="005802BD"/>
    <w:rsid w:val="0058151C"/>
    <w:rsid w:val="00581CE7"/>
    <w:rsid w:val="005870E5"/>
    <w:rsid w:val="005873D6"/>
    <w:rsid w:val="00596702"/>
    <w:rsid w:val="005A1A17"/>
    <w:rsid w:val="005A4523"/>
    <w:rsid w:val="005A4707"/>
    <w:rsid w:val="005B0CDC"/>
    <w:rsid w:val="005B23F7"/>
    <w:rsid w:val="005B7B7E"/>
    <w:rsid w:val="005D06D6"/>
    <w:rsid w:val="005D1EE1"/>
    <w:rsid w:val="005D2AEE"/>
    <w:rsid w:val="005D3F96"/>
    <w:rsid w:val="005D5DDF"/>
    <w:rsid w:val="005D6A5C"/>
    <w:rsid w:val="005E05D4"/>
    <w:rsid w:val="005E207A"/>
    <w:rsid w:val="005E2143"/>
    <w:rsid w:val="005F0995"/>
    <w:rsid w:val="005F1E35"/>
    <w:rsid w:val="005F36D9"/>
    <w:rsid w:val="005F6C71"/>
    <w:rsid w:val="005F71EC"/>
    <w:rsid w:val="006062AE"/>
    <w:rsid w:val="0060656D"/>
    <w:rsid w:val="00606B5A"/>
    <w:rsid w:val="00610884"/>
    <w:rsid w:val="0062702A"/>
    <w:rsid w:val="006404F1"/>
    <w:rsid w:val="0064449B"/>
    <w:rsid w:val="006467C4"/>
    <w:rsid w:val="00651C9C"/>
    <w:rsid w:val="00654D8C"/>
    <w:rsid w:val="006555D8"/>
    <w:rsid w:val="006610FC"/>
    <w:rsid w:val="006670DB"/>
    <w:rsid w:val="00667C57"/>
    <w:rsid w:val="00680EEB"/>
    <w:rsid w:val="006811BF"/>
    <w:rsid w:val="00682D7C"/>
    <w:rsid w:val="00682FAD"/>
    <w:rsid w:val="0068494D"/>
    <w:rsid w:val="006945D3"/>
    <w:rsid w:val="006A1BD7"/>
    <w:rsid w:val="006A3112"/>
    <w:rsid w:val="006B1080"/>
    <w:rsid w:val="006C0CC1"/>
    <w:rsid w:val="006C6B87"/>
    <w:rsid w:val="006C70ED"/>
    <w:rsid w:val="006D4CCC"/>
    <w:rsid w:val="006D5D5F"/>
    <w:rsid w:val="006E155C"/>
    <w:rsid w:val="006F77F7"/>
    <w:rsid w:val="00700D32"/>
    <w:rsid w:val="0070138D"/>
    <w:rsid w:val="0070266E"/>
    <w:rsid w:val="00705429"/>
    <w:rsid w:val="0070730B"/>
    <w:rsid w:val="00712BC5"/>
    <w:rsid w:val="00715CA4"/>
    <w:rsid w:val="00716EAC"/>
    <w:rsid w:val="00720395"/>
    <w:rsid w:val="0072448B"/>
    <w:rsid w:val="00726016"/>
    <w:rsid w:val="0075401E"/>
    <w:rsid w:val="00755471"/>
    <w:rsid w:val="007556A8"/>
    <w:rsid w:val="00760DDA"/>
    <w:rsid w:val="00776FE6"/>
    <w:rsid w:val="007812EA"/>
    <w:rsid w:val="00781F1A"/>
    <w:rsid w:val="00782C84"/>
    <w:rsid w:val="00784D8F"/>
    <w:rsid w:val="007912E9"/>
    <w:rsid w:val="007923BD"/>
    <w:rsid w:val="00793820"/>
    <w:rsid w:val="00797654"/>
    <w:rsid w:val="007A022B"/>
    <w:rsid w:val="007A1A73"/>
    <w:rsid w:val="007A36E9"/>
    <w:rsid w:val="007A5B26"/>
    <w:rsid w:val="007A710B"/>
    <w:rsid w:val="007B4614"/>
    <w:rsid w:val="007B7812"/>
    <w:rsid w:val="007C4C1F"/>
    <w:rsid w:val="007D4356"/>
    <w:rsid w:val="007D520B"/>
    <w:rsid w:val="007D5225"/>
    <w:rsid w:val="007D6192"/>
    <w:rsid w:val="007D646F"/>
    <w:rsid w:val="007E0035"/>
    <w:rsid w:val="007F05BA"/>
    <w:rsid w:val="007F17C2"/>
    <w:rsid w:val="007F3051"/>
    <w:rsid w:val="007F445F"/>
    <w:rsid w:val="007F69C4"/>
    <w:rsid w:val="00805B1A"/>
    <w:rsid w:val="00812666"/>
    <w:rsid w:val="00825BEF"/>
    <w:rsid w:val="008275DE"/>
    <w:rsid w:val="0083025F"/>
    <w:rsid w:val="00831A4E"/>
    <w:rsid w:val="00834158"/>
    <w:rsid w:val="00834F29"/>
    <w:rsid w:val="00843099"/>
    <w:rsid w:val="00844A63"/>
    <w:rsid w:val="0085555C"/>
    <w:rsid w:val="00860076"/>
    <w:rsid w:val="00864B42"/>
    <w:rsid w:val="00864EDC"/>
    <w:rsid w:val="008766A7"/>
    <w:rsid w:val="0088023F"/>
    <w:rsid w:val="008853E8"/>
    <w:rsid w:val="00890B67"/>
    <w:rsid w:val="00893361"/>
    <w:rsid w:val="00893CE3"/>
    <w:rsid w:val="0089684C"/>
    <w:rsid w:val="008A42EB"/>
    <w:rsid w:val="008A4E58"/>
    <w:rsid w:val="008A5709"/>
    <w:rsid w:val="008B1A6F"/>
    <w:rsid w:val="008B7C56"/>
    <w:rsid w:val="008C1BE0"/>
    <w:rsid w:val="008D1502"/>
    <w:rsid w:val="008D2E6B"/>
    <w:rsid w:val="008D3059"/>
    <w:rsid w:val="008D44E2"/>
    <w:rsid w:val="008D5C1F"/>
    <w:rsid w:val="008E0C90"/>
    <w:rsid w:val="008F024A"/>
    <w:rsid w:val="00900B1D"/>
    <w:rsid w:val="00910D7C"/>
    <w:rsid w:val="00911CE5"/>
    <w:rsid w:val="0091490C"/>
    <w:rsid w:val="009204DB"/>
    <w:rsid w:val="0092128F"/>
    <w:rsid w:val="009220D3"/>
    <w:rsid w:val="009226F2"/>
    <w:rsid w:val="00926314"/>
    <w:rsid w:val="00930317"/>
    <w:rsid w:val="00933333"/>
    <w:rsid w:val="0093364F"/>
    <w:rsid w:val="00936A0A"/>
    <w:rsid w:val="0094724D"/>
    <w:rsid w:val="009510ED"/>
    <w:rsid w:val="00954E13"/>
    <w:rsid w:val="0096452B"/>
    <w:rsid w:val="00975377"/>
    <w:rsid w:val="00981308"/>
    <w:rsid w:val="00983CDC"/>
    <w:rsid w:val="00983E62"/>
    <w:rsid w:val="00984743"/>
    <w:rsid w:val="00987A4E"/>
    <w:rsid w:val="0099188F"/>
    <w:rsid w:val="00995822"/>
    <w:rsid w:val="00997A44"/>
    <w:rsid w:val="009A7254"/>
    <w:rsid w:val="009B2BF4"/>
    <w:rsid w:val="009B52A3"/>
    <w:rsid w:val="009B53BA"/>
    <w:rsid w:val="009B609B"/>
    <w:rsid w:val="009B6F4E"/>
    <w:rsid w:val="009B6FA5"/>
    <w:rsid w:val="009B74CD"/>
    <w:rsid w:val="009D38DB"/>
    <w:rsid w:val="009D3D0A"/>
    <w:rsid w:val="009E1F06"/>
    <w:rsid w:val="009E5DEF"/>
    <w:rsid w:val="009E6B6B"/>
    <w:rsid w:val="009F79E3"/>
    <w:rsid w:val="00A04E49"/>
    <w:rsid w:val="00A10236"/>
    <w:rsid w:val="00A10B7E"/>
    <w:rsid w:val="00A11E9D"/>
    <w:rsid w:val="00A25268"/>
    <w:rsid w:val="00A34924"/>
    <w:rsid w:val="00A35F3F"/>
    <w:rsid w:val="00A40234"/>
    <w:rsid w:val="00A4496C"/>
    <w:rsid w:val="00A51BDA"/>
    <w:rsid w:val="00A52FED"/>
    <w:rsid w:val="00A547EA"/>
    <w:rsid w:val="00A54EE3"/>
    <w:rsid w:val="00A60040"/>
    <w:rsid w:val="00A64033"/>
    <w:rsid w:val="00A66230"/>
    <w:rsid w:val="00A66B33"/>
    <w:rsid w:val="00A7226B"/>
    <w:rsid w:val="00A80E57"/>
    <w:rsid w:val="00A928C5"/>
    <w:rsid w:val="00A955A3"/>
    <w:rsid w:val="00A958C2"/>
    <w:rsid w:val="00A95C9E"/>
    <w:rsid w:val="00A96933"/>
    <w:rsid w:val="00AA6572"/>
    <w:rsid w:val="00AB0EDD"/>
    <w:rsid w:val="00AB238D"/>
    <w:rsid w:val="00AC5DC1"/>
    <w:rsid w:val="00AD1275"/>
    <w:rsid w:val="00AD56BA"/>
    <w:rsid w:val="00AF00B0"/>
    <w:rsid w:val="00AF0B6E"/>
    <w:rsid w:val="00AF0C1B"/>
    <w:rsid w:val="00AF1152"/>
    <w:rsid w:val="00AF20DE"/>
    <w:rsid w:val="00AF2C7E"/>
    <w:rsid w:val="00AF337C"/>
    <w:rsid w:val="00AF365B"/>
    <w:rsid w:val="00B0152E"/>
    <w:rsid w:val="00B06F77"/>
    <w:rsid w:val="00B17EA4"/>
    <w:rsid w:val="00B2401D"/>
    <w:rsid w:val="00B27F1E"/>
    <w:rsid w:val="00B320E0"/>
    <w:rsid w:val="00B35A2B"/>
    <w:rsid w:val="00B44C87"/>
    <w:rsid w:val="00B525E7"/>
    <w:rsid w:val="00B5298A"/>
    <w:rsid w:val="00B52BC2"/>
    <w:rsid w:val="00B54B9E"/>
    <w:rsid w:val="00B5655B"/>
    <w:rsid w:val="00B602C0"/>
    <w:rsid w:val="00B65AA6"/>
    <w:rsid w:val="00B736AC"/>
    <w:rsid w:val="00B753D4"/>
    <w:rsid w:val="00B804DA"/>
    <w:rsid w:val="00B91C42"/>
    <w:rsid w:val="00BB0ED6"/>
    <w:rsid w:val="00BB1C0A"/>
    <w:rsid w:val="00BB4B74"/>
    <w:rsid w:val="00BB6FED"/>
    <w:rsid w:val="00BC41B2"/>
    <w:rsid w:val="00BC45B6"/>
    <w:rsid w:val="00BC4F9E"/>
    <w:rsid w:val="00BE0799"/>
    <w:rsid w:val="00BF1119"/>
    <w:rsid w:val="00BF5510"/>
    <w:rsid w:val="00C070A2"/>
    <w:rsid w:val="00C10D37"/>
    <w:rsid w:val="00C17E66"/>
    <w:rsid w:val="00C3032A"/>
    <w:rsid w:val="00C31C6D"/>
    <w:rsid w:val="00C31FF2"/>
    <w:rsid w:val="00C33C36"/>
    <w:rsid w:val="00C44645"/>
    <w:rsid w:val="00C50A3F"/>
    <w:rsid w:val="00C51847"/>
    <w:rsid w:val="00C6137D"/>
    <w:rsid w:val="00C61540"/>
    <w:rsid w:val="00C61B0C"/>
    <w:rsid w:val="00C67D4C"/>
    <w:rsid w:val="00C706FA"/>
    <w:rsid w:val="00C81D18"/>
    <w:rsid w:val="00C82258"/>
    <w:rsid w:val="00C82744"/>
    <w:rsid w:val="00C836D9"/>
    <w:rsid w:val="00C843F0"/>
    <w:rsid w:val="00C85F66"/>
    <w:rsid w:val="00CA0CFD"/>
    <w:rsid w:val="00CA37C8"/>
    <w:rsid w:val="00CA5047"/>
    <w:rsid w:val="00CC4EE7"/>
    <w:rsid w:val="00CD5C22"/>
    <w:rsid w:val="00CE363E"/>
    <w:rsid w:val="00CF1430"/>
    <w:rsid w:val="00CF1AE4"/>
    <w:rsid w:val="00D0046C"/>
    <w:rsid w:val="00D00979"/>
    <w:rsid w:val="00D01E3B"/>
    <w:rsid w:val="00D06EEA"/>
    <w:rsid w:val="00D11946"/>
    <w:rsid w:val="00D14F71"/>
    <w:rsid w:val="00D15612"/>
    <w:rsid w:val="00D17A89"/>
    <w:rsid w:val="00D21619"/>
    <w:rsid w:val="00D21B1B"/>
    <w:rsid w:val="00D220B5"/>
    <w:rsid w:val="00D26063"/>
    <w:rsid w:val="00D32832"/>
    <w:rsid w:val="00D33C76"/>
    <w:rsid w:val="00D34827"/>
    <w:rsid w:val="00D41F8D"/>
    <w:rsid w:val="00D451AB"/>
    <w:rsid w:val="00D50991"/>
    <w:rsid w:val="00D578AF"/>
    <w:rsid w:val="00D61DA0"/>
    <w:rsid w:val="00D65D7A"/>
    <w:rsid w:val="00D6793A"/>
    <w:rsid w:val="00D7347C"/>
    <w:rsid w:val="00D74D7F"/>
    <w:rsid w:val="00D80F6F"/>
    <w:rsid w:val="00D9342C"/>
    <w:rsid w:val="00D944CB"/>
    <w:rsid w:val="00DA59FA"/>
    <w:rsid w:val="00DB295F"/>
    <w:rsid w:val="00DB3826"/>
    <w:rsid w:val="00DB47DC"/>
    <w:rsid w:val="00DB74F2"/>
    <w:rsid w:val="00DC205C"/>
    <w:rsid w:val="00DC5687"/>
    <w:rsid w:val="00DC7A5D"/>
    <w:rsid w:val="00DD1CF8"/>
    <w:rsid w:val="00DD6102"/>
    <w:rsid w:val="00DD71F1"/>
    <w:rsid w:val="00DE00C5"/>
    <w:rsid w:val="00DE3FB5"/>
    <w:rsid w:val="00E00D0A"/>
    <w:rsid w:val="00E07B93"/>
    <w:rsid w:val="00E07E15"/>
    <w:rsid w:val="00E161F8"/>
    <w:rsid w:val="00E32815"/>
    <w:rsid w:val="00E40596"/>
    <w:rsid w:val="00E40BA9"/>
    <w:rsid w:val="00E41B77"/>
    <w:rsid w:val="00E45EC3"/>
    <w:rsid w:val="00E47C4F"/>
    <w:rsid w:val="00E541A3"/>
    <w:rsid w:val="00E637BB"/>
    <w:rsid w:val="00E638C8"/>
    <w:rsid w:val="00E658DD"/>
    <w:rsid w:val="00E65D7E"/>
    <w:rsid w:val="00E82204"/>
    <w:rsid w:val="00E8377B"/>
    <w:rsid w:val="00E83A77"/>
    <w:rsid w:val="00E8796C"/>
    <w:rsid w:val="00E90251"/>
    <w:rsid w:val="00E933C0"/>
    <w:rsid w:val="00E962B7"/>
    <w:rsid w:val="00E96877"/>
    <w:rsid w:val="00E978BF"/>
    <w:rsid w:val="00EA1188"/>
    <w:rsid w:val="00EB0752"/>
    <w:rsid w:val="00EB77CC"/>
    <w:rsid w:val="00EC0997"/>
    <w:rsid w:val="00ED30F4"/>
    <w:rsid w:val="00ED43BB"/>
    <w:rsid w:val="00ED68E9"/>
    <w:rsid w:val="00EE1FC2"/>
    <w:rsid w:val="00EF670C"/>
    <w:rsid w:val="00F1455B"/>
    <w:rsid w:val="00F16D36"/>
    <w:rsid w:val="00F210FD"/>
    <w:rsid w:val="00F33087"/>
    <w:rsid w:val="00F350B2"/>
    <w:rsid w:val="00F372A2"/>
    <w:rsid w:val="00F4243D"/>
    <w:rsid w:val="00F45BA7"/>
    <w:rsid w:val="00F45BE9"/>
    <w:rsid w:val="00F46308"/>
    <w:rsid w:val="00F46F4A"/>
    <w:rsid w:val="00F60788"/>
    <w:rsid w:val="00F7063D"/>
    <w:rsid w:val="00F70C88"/>
    <w:rsid w:val="00F7168A"/>
    <w:rsid w:val="00F734AD"/>
    <w:rsid w:val="00F76618"/>
    <w:rsid w:val="00F76E42"/>
    <w:rsid w:val="00F81D1B"/>
    <w:rsid w:val="00F84292"/>
    <w:rsid w:val="00F85E04"/>
    <w:rsid w:val="00F864DA"/>
    <w:rsid w:val="00F92643"/>
    <w:rsid w:val="00F936B3"/>
    <w:rsid w:val="00F97F7D"/>
    <w:rsid w:val="00FA0333"/>
    <w:rsid w:val="00FA19D5"/>
    <w:rsid w:val="00FA3EE8"/>
    <w:rsid w:val="00FB3E2C"/>
    <w:rsid w:val="00FC19B9"/>
    <w:rsid w:val="00FD00A5"/>
    <w:rsid w:val="00FD4B0F"/>
    <w:rsid w:val="00FF0C09"/>
    <w:rsid w:val="01CE5D1C"/>
    <w:rsid w:val="039E595D"/>
    <w:rsid w:val="070F07F6"/>
    <w:rsid w:val="08083403"/>
    <w:rsid w:val="09BE5E2A"/>
    <w:rsid w:val="0A091F73"/>
    <w:rsid w:val="0A8504E9"/>
    <w:rsid w:val="0D92619C"/>
    <w:rsid w:val="0F412CA9"/>
    <w:rsid w:val="0FD566D2"/>
    <w:rsid w:val="11D83B53"/>
    <w:rsid w:val="13B2170D"/>
    <w:rsid w:val="13B97480"/>
    <w:rsid w:val="14034EB5"/>
    <w:rsid w:val="14870494"/>
    <w:rsid w:val="15085E8C"/>
    <w:rsid w:val="15174F60"/>
    <w:rsid w:val="1556095A"/>
    <w:rsid w:val="167D7F24"/>
    <w:rsid w:val="17306AB5"/>
    <w:rsid w:val="17373F64"/>
    <w:rsid w:val="19A054D6"/>
    <w:rsid w:val="1B0717C8"/>
    <w:rsid w:val="1BE33681"/>
    <w:rsid w:val="21862EC6"/>
    <w:rsid w:val="237A2B2A"/>
    <w:rsid w:val="2C4F36F5"/>
    <w:rsid w:val="2D5F22BD"/>
    <w:rsid w:val="2FF37D11"/>
    <w:rsid w:val="3013049D"/>
    <w:rsid w:val="332C3D99"/>
    <w:rsid w:val="365875C5"/>
    <w:rsid w:val="39356049"/>
    <w:rsid w:val="3B4E60E4"/>
    <w:rsid w:val="3BFE2074"/>
    <w:rsid w:val="3F8C7277"/>
    <w:rsid w:val="3FA0222F"/>
    <w:rsid w:val="42D769B6"/>
    <w:rsid w:val="44F600D3"/>
    <w:rsid w:val="45617704"/>
    <w:rsid w:val="48B048DB"/>
    <w:rsid w:val="4B8C0594"/>
    <w:rsid w:val="4CFE380A"/>
    <w:rsid w:val="4D862B8C"/>
    <w:rsid w:val="4DFF35F5"/>
    <w:rsid w:val="4EF47599"/>
    <w:rsid w:val="4FE3578A"/>
    <w:rsid w:val="54E94B5B"/>
    <w:rsid w:val="55661639"/>
    <w:rsid w:val="55761622"/>
    <w:rsid w:val="5BD857FA"/>
    <w:rsid w:val="5C080481"/>
    <w:rsid w:val="5E202145"/>
    <w:rsid w:val="6031647B"/>
    <w:rsid w:val="62F74A7A"/>
    <w:rsid w:val="668E2223"/>
    <w:rsid w:val="683026D9"/>
    <w:rsid w:val="693F388B"/>
    <w:rsid w:val="6DBA21A1"/>
    <w:rsid w:val="73731F46"/>
    <w:rsid w:val="7AF5051C"/>
    <w:rsid w:val="7BBA680A"/>
    <w:rsid w:val="7BE826AE"/>
    <w:rsid w:val="7CCF532E"/>
    <w:rsid w:val="7E003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6"/>
    <w:qFormat/>
    <w:uiPriority w:val="0"/>
    <w:pPr>
      <w:tabs>
        <w:tab w:val="center" w:pos="4153"/>
        <w:tab w:val="right" w:pos="8306"/>
      </w:tabs>
      <w:snapToGrid w:val="0"/>
      <w:jc w:val="left"/>
    </w:pPr>
    <w:rPr>
      <w:sz w:val="18"/>
      <w:szCs w:val="18"/>
    </w:rPr>
  </w:style>
  <w:style w:type="paragraph" w:styleId="3">
    <w:name w:val="header"/>
    <w:basedOn w:val="1"/>
    <w:link w:val="25"/>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100" w:beforeAutospacing="1" w:after="100" w:afterAutospacing="1"/>
      <w:jc w:val="left"/>
    </w:pPr>
    <w:rPr>
      <w:kern w:val="0"/>
      <w:sz w:val="24"/>
    </w:rPr>
  </w:style>
  <w:style w:type="table" w:styleId="6">
    <w:name w:val="Table Grid"/>
    <w:basedOn w:val="5"/>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8">
    <w:name w:val="Hyperlink"/>
    <w:basedOn w:val="7"/>
    <w:unhideWhenUsed/>
    <w:qFormat/>
    <w:uiPriority w:val="99"/>
    <w:rPr>
      <w:color w:val="0000FF"/>
      <w:u w:val="single"/>
    </w:rPr>
  </w:style>
  <w:style w:type="paragraph" w:customStyle="1" w:styleId="9">
    <w:name w:val="段"/>
    <w:link w:val="2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0">
    <w:name w:val="正文表标题"/>
    <w:next w:val="9"/>
    <w:qFormat/>
    <w:uiPriority w:val="0"/>
    <w:pPr>
      <w:spacing w:before="156" w:beforeLines="50" w:after="156" w:afterLines="50"/>
      <w:jc w:val="center"/>
    </w:pPr>
    <w:rPr>
      <w:rFonts w:ascii="黑体" w:hAnsi="Times New Roman" w:eastAsia="黑体" w:cs="Times New Roman"/>
      <w:sz w:val="21"/>
      <w:lang w:val="en-US" w:eastAsia="zh-CN" w:bidi="ar-SA"/>
    </w:rPr>
  </w:style>
  <w:style w:type="paragraph" w:customStyle="1" w:styleId="11">
    <w:name w:val="正文图标题"/>
    <w:next w:val="9"/>
    <w:qFormat/>
    <w:uiPriority w:val="0"/>
    <w:pPr>
      <w:numPr>
        <w:ilvl w:val="0"/>
        <w:numId w:val="1"/>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2">
    <w:name w:val="其他发布日期"/>
    <w:basedOn w:val="1"/>
    <w:qFormat/>
    <w:uiPriority w:val="0"/>
    <w:pPr>
      <w:framePr w:w="3997" w:h="471" w:hRule="exact" w:vSpace="181" w:wrap="around" w:vAnchor="page" w:hAnchor="page" w:x="1419" w:y="14097" w:anchorLock="1"/>
      <w:widowControl/>
      <w:numPr>
        <w:ilvl w:val="0"/>
        <w:numId w:val="2"/>
      </w:numPr>
      <w:jc w:val="left"/>
    </w:pPr>
    <w:rPr>
      <w:rFonts w:eastAsia="黑体"/>
      <w:kern w:val="0"/>
      <w:sz w:val="28"/>
      <w:szCs w:val="20"/>
    </w:rPr>
  </w:style>
  <w:style w:type="paragraph" w:customStyle="1" w:styleId="13">
    <w:name w:val="一级条标题"/>
    <w:next w:val="9"/>
    <w:qFormat/>
    <w:uiPriority w:val="0"/>
    <w:pPr>
      <w:numPr>
        <w:ilvl w:val="1"/>
        <w:numId w:val="3"/>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14">
    <w:name w:val="章标题"/>
    <w:next w:val="9"/>
    <w:qFormat/>
    <w:uiPriority w:val="0"/>
    <w:pPr>
      <w:numPr>
        <w:ilvl w:val="0"/>
        <w:numId w:val="3"/>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15">
    <w:name w:val="二级条标题"/>
    <w:basedOn w:val="13"/>
    <w:next w:val="9"/>
    <w:qFormat/>
    <w:uiPriority w:val="0"/>
    <w:pPr>
      <w:numPr>
        <w:ilvl w:val="2"/>
      </w:numPr>
      <w:spacing w:before="50" w:after="50"/>
      <w:outlineLvl w:val="3"/>
    </w:pPr>
  </w:style>
  <w:style w:type="paragraph" w:customStyle="1" w:styleId="16">
    <w:name w:val="三级条标题"/>
    <w:basedOn w:val="15"/>
    <w:next w:val="9"/>
    <w:qFormat/>
    <w:uiPriority w:val="0"/>
    <w:pPr>
      <w:numPr>
        <w:ilvl w:val="3"/>
      </w:numPr>
      <w:outlineLvl w:val="4"/>
    </w:pPr>
  </w:style>
  <w:style w:type="paragraph" w:customStyle="1" w:styleId="17">
    <w:name w:val="四级条标题"/>
    <w:basedOn w:val="16"/>
    <w:next w:val="9"/>
    <w:qFormat/>
    <w:uiPriority w:val="0"/>
    <w:pPr>
      <w:numPr>
        <w:ilvl w:val="4"/>
      </w:numPr>
      <w:outlineLvl w:val="5"/>
    </w:pPr>
  </w:style>
  <w:style w:type="paragraph" w:customStyle="1" w:styleId="18">
    <w:name w:val="五级条标题"/>
    <w:basedOn w:val="17"/>
    <w:next w:val="9"/>
    <w:qFormat/>
    <w:uiPriority w:val="0"/>
    <w:pPr>
      <w:numPr>
        <w:ilvl w:val="5"/>
      </w:numPr>
      <w:outlineLvl w:val="6"/>
    </w:pPr>
  </w:style>
  <w:style w:type="paragraph" w:customStyle="1" w:styleId="19">
    <w:name w:val="注："/>
    <w:next w:val="9"/>
    <w:qFormat/>
    <w:uiPriority w:val="0"/>
    <w:pPr>
      <w:widowControl w:val="0"/>
      <w:numPr>
        <w:ilvl w:val="0"/>
        <w:numId w:val="4"/>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0">
    <w:name w:val="附录图标号"/>
    <w:basedOn w:val="1"/>
    <w:qFormat/>
    <w:uiPriority w:val="0"/>
    <w:pPr>
      <w:keepNext/>
      <w:pageBreakBefore/>
      <w:widowControl/>
      <w:numPr>
        <w:ilvl w:val="0"/>
        <w:numId w:val="5"/>
      </w:numPr>
      <w:spacing w:line="14" w:lineRule="exact"/>
      <w:ind w:left="0" w:firstLine="363"/>
      <w:jc w:val="center"/>
      <w:outlineLvl w:val="0"/>
    </w:pPr>
    <w:rPr>
      <w:color w:val="FFFFFF"/>
    </w:rPr>
  </w:style>
  <w:style w:type="paragraph" w:customStyle="1" w:styleId="21">
    <w:name w:val="附录图标题"/>
    <w:basedOn w:val="1"/>
    <w:next w:val="9"/>
    <w:qFormat/>
    <w:uiPriority w:val="0"/>
    <w:pPr>
      <w:numPr>
        <w:ilvl w:val="1"/>
        <w:numId w:val="5"/>
      </w:numPr>
      <w:tabs>
        <w:tab w:val="left" w:pos="363"/>
      </w:tabs>
      <w:spacing w:before="50" w:beforeLines="50" w:after="50" w:afterLines="50"/>
      <w:ind w:left="0" w:firstLine="0"/>
      <w:jc w:val="center"/>
    </w:pPr>
    <w:rPr>
      <w:rFonts w:ascii="黑体" w:eastAsia="黑体"/>
      <w:szCs w:val="21"/>
    </w:rPr>
  </w:style>
  <w:style w:type="paragraph" w:customStyle="1" w:styleId="22">
    <w:name w:val="注×：（正文）"/>
    <w:qFormat/>
    <w:uiPriority w:val="0"/>
    <w:pPr>
      <w:numPr>
        <w:ilvl w:val="0"/>
        <w:numId w:val="6"/>
      </w:numPr>
      <w:jc w:val="both"/>
    </w:pPr>
    <w:rPr>
      <w:rFonts w:ascii="宋体" w:hAnsi="Times New Roman" w:eastAsia="宋体" w:cs="Times New Roman"/>
      <w:sz w:val="18"/>
      <w:szCs w:val="18"/>
      <w:lang w:val="en-US" w:eastAsia="zh-CN" w:bidi="ar-SA"/>
    </w:rPr>
  </w:style>
  <w:style w:type="paragraph" w:customStyle="1" w:styleId="23">
    <w:name w:val="图表脚注说明"/>
    <w:basedOn w:val="1"/>
    <w:qFormat/>
    <w:uiPriority w:val="0"/>
    <w:pPr>
      <w:numPr>
        <w:ilvl w:val="0"/>
        <w:numId w:val="7"/>
      </w:numPr>
    </w:pPr>
    <w:rPr>
      <w:rFonts w:ascii="宋体"/>
      <w:sz w:val="18"/>
      <w:szCs w:val="18"/>
    </w:rPr>
  </w:style>
  <w:style w:type="character" w:customStyle="1" w:styleId="24">
    <w:name w:val="段 Char"/>
    <w:basedOn w:val="7"/>
    <w:link w:val="9"/>
    <w:qFormat/>
    <w:uiPriority w:val="0"/>
    <w:rPr>
      <w:rFonts w:ascii="宋体"/>
      <w:sz w:val="21"/>
      <w:lang w:val="en-US" w:eastAsia="zh-CN" w:bidi="ar-SA"/>
    </w:rPr>
  </w:style>
  <w:style w:type="character" w:customStyle="1" w:styleId="25">
    <w:name w:val="页眉 Char"/>
    <w:basedOn w:val="7"/>
    <w:link w:val="3"/>
    <w:qFormat/>
    <w:uiPriority w:val="0"/>
    <w:rPr>
      <w:kern w:val="2"/>
      <w:sz w:val="18"/>
      <w:szCs w:val="18"/>
    </w:rPr>
  </w:style>
  <w:style w:type="character" w:customStyle="1" w:styleId="26">
    <w:name w:val="页脚 Char"/>
    <w:basedOn w:val="7"/>
    <w:link w:val="2"/>
    <w:qFormat/>
    <w:uiPriority w:val="0"/>
    <w:rPr>
      <w:kern w:val="2"/>
      <w:sz w:val="18"/>
      <w:szCs w:val="18"/>
    </w:rPr>
  </w:style>
  <w:style w:type="paragraph" w:customStyle="1" w:styleId="27">
    <w:name w:val="附录表标题"/>
    <w:basedOn w:val="1"/>
    <w:next w:val="9"/>
    <w:qFormat/>
    <w:uiPriority w:val="0"/>
    <w:pPr>
      <w:numPr>
        <w:ilvl w:val="1"/>
        <w:numId w:val="8"/>
      </w:numPr>
      <w:tabs>
        <w:tab w:val="left" w:pos="180"/>
      </w:tabs>
      <w:spacing w:before="50" w:beforeLines="50" w:after="50" w:afterLines="50"/>
      <w:ind w:left="0" w:firstLine="0"/>
      <w:jc w:val="center"/>
    </w:pPr>
    <w:rPr>
      <w:rFonts w:ascii="黑体" w:eastAsia="黑体"/>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12</Pages>
  <Words>6514</Words>
  <Characters>650</Characters>
  <Lines>5</Lines>
  <Paragraphs>14</Paragraphs>
  <TotalTime>367</TotalTime>
  <ScaleCrop>false</ScaleCrop>
  <LinksUpToDate>false</LinksUpToDate>
  <CharactersWithSpaces>7150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2021-09-07T09:59:00Z</dcterms:created>
  <dc:creator>USER</dc:creator>
  <cp:lastModifiedBy>誰念誰川</cp:lastModifiedBy>
  <cp:lastPrinted>2019-07-10T11:21:00Z</cp:lastPrinted>
  <dcterms:modified xsi:type="dcterms:W3CDTF">2021-09-22T03:05:45Z</dcterms:modified>
  <dc:title>广西地方标准《脱氢枞酸》（征求意见稿）</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484DF7F1BEB842158BCD0584349217B5</vt:lpwstr>
  </property>
</Properties>
</file>